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4AB618" w14:textId="77777777" w:rsidR="2D2B0E4B" w:rsidRPr="00342FC6" w:rsidRDefault="2D2B0E4B" w:rsidP="00601DD5">
      <w:pPr>
        <w:spacing w:after="0" w:line="240" w:lineRule="auto"/>
        <w:jc w:val="right"/>
        <w:rPr>
          <w:rFonts w:ascii="Arial" w:hAnsi="Arial" w:cs="Arial"/>
          <w:b/>
          <w:bCs/>
          <w:sz w:val="24"/>
          <w:szCs w:val="24"/>
        </w:rPr>
      </w:pPr>
      <w:r w:rsidRPr="00342FC6">
        <w:rPr>
          <w:rFonts w:ascii="Arial" w:hAnsi="Arial" w:cs="Arial"/>
          <w:noProof/>
          <w:sz w:val="24"/>
          <w:szCs w:val="24"/>
        </w:rPr>
        <w:drawing>
          <wp:anchor distT="0" distB="0" distL="114300" distR="114300" simplePos="0" relativeHeight="251658240" behindDoc="0" locked="0" layoutInCell="1" allowOverlap="1" wp14:anchorId="366F1CE0" wp14:editId="5FB397BD">
            <wp:simplePos x="0" y="0"/>
            <wp:positionH relativeFrom="margin">
              <wp:posOffset>4657725</wp:posOffset>
            </wp:positionH>
            <wp:positionV relativeFrom="page">
              <wp:posOffset>352425</wp:posOffset>
            </wp:positionV>
            <wp:extent cx="1123950" cy="1123950"/>
            <wp:effectExtent l="0" t="0" r="0" b="0"/>
            <wp:wrapSquare wrapText="bothSides"/>
            <wp:docPr id="1849622363" name="Picture 184962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anchor>
        </w:drawing>
      </w:r>
    </w:p>
    <w:p w14:paraId="64B90C4B" w14:textId="24348515" w:rsidR="00342FC6" w:rsidRPr="00342FC6" w:rsidRDefault="00342FC6" w:rsidP="00342FC6">
      <w:pPr>
        <w:spacing w:after="0" w:line="240" w:lineRule="auto"/>
        <w:rPr>
          <w:rFonts w:ascii="Arial" w:hAnsi="Arial" w:cs="Arial"/>
          <w:b/>
          <w:bCs/>
          <w:sz w:val="24"/>
          <w:szCs w:val="24"/>
        </w:rPr>
      </w:pPr>
      <w:r w:rsidRPr="00342FC6">
        <w:rPr>
          <w:rFonts w:ascii="Arial" w:hAnsi="Arial" w:cs="Arial"/>
          <w:b/>
          <w:bCs/>
          <w:sz w:val="24"/>
          <w:szCs w:val="24"/>
        </w:rPr>
        <w:t>Scottish Government Consultation</w:t>
      </w:r>
    </w:p>
    <w:p w14:paraId="70E0F330" w14:textId="4B966BF9" w:rsidR="00342FC6" w:rsidRPr="00342FC6" w:rsidRDefault="00342FC6" w:rsidP="00342FC6">
      <w:pPr>
        <w:spacing w:after="0" w:line="240" w:lineRule="auto"/>
        <w:rPr>
          <w:rFonts w:ascii="Arial" w:hAnsi="Arial" w:cs="Arial"/>
          <w:b/>
          <w:sz w:val="24"/>
          <w:szCs w:val="24"/>
        </w:rPr>
      </w:pPr>
      <w:r w:rsidRPr="00342FC6">
        <w:rPr>
          <w:rFonts w:ascii="Arial" w:hAnsi="Arial" w:cs="Arial"/>
          <w:b/>
          <w:bCs/>
          <w:sz w:val="24"/>
          <w:szCs w:val="24"/>
        </w:rPr>
        <w:t>United Nations Convention on the Rights of the Child</w:t>
      </w:r>
      <w:r w:rsidRPr="00342FC6">
        <w:rPr>
          <w:rFonts w:ascii="Arial" w:hAnsi="Arial" w:cs="Arial"/>
          <w:b/>
          <w:sz w:val="24"/>
          <w:szCs w:val="24"/>
          <w:lang w:eastAsia="en-GB"/>
        </w:rPr>
        <w:t xml:space="preserve"> (Incorporation) (Scotland) Act 2024: Statutory Guidance on Part 2 and 3 (section 18)</w:t>
      </w:r>
    </w:p>
    <w:p w14:paraId="51B3EE6A" w14:textId="11BE2E4D" w:rsidR="00E74BB5" w:rsidRPr="00342FC6" w:rsidRDefault="00342FC6" w:rsidP="00D732FD">
      <w:pPr>
        <w:spacing w:after="0" w:line="240" w:lineRule="auto"/>
        <w:rPr>
          <w:rFonts w:ascii="Arial" w:hAnsi="Arial" w:cs="Arial"/>
          <w:b/>
          <w:bCs/>
          <w:sz w:val="24"/>
          <w:szCs w:val="24"/>
        </w:rPr>
      </w:pPr>
      <w:r>
        <w:rPr>
          <w:rFonts w:ascii="Arial" w:hAnsi="Arial" w:cs="Arial"/>
          <w:b/>
          <w:bCs/>
          <w:sz w:val="24"/>
          <w:szCs w:val="24"/>
        </w:rPr>
        <w:t>May 2024</w:t>
      </w:r>
    </w:p>
    <w:p w14:paraId="7ECE406E" w14:textId="77777777" w:rsidR="00EF7447" w:rsidRPr="00342FC6" w:rsidRDefault="00EF7447" w:rsidP="00601DD5">
      <w:pPr>
        <w:spacing w:after="0" w:line="240" w:lineRule="auto"/>
        <w:rPr>
          <w:rFonts w:ascii="Arial" w:hAnsi="Arial" w:cs="Arial"/>
          <w:sz w:val="24"/>
          <w:szCs w:val="24"/>
        </w:rPr>
      </w:pPr>
    </w:p>
    <w:p w14:paraId="498AB9B1" w14:textId="77777777" w:rsidR="00FC07F2" w:rsidRPr="00342FC6" w:rsidRDefault="00FC07F2" w:rsidP="00FC07F2">
      <w:pPr>
        <w:pBdr>
          <w:top w:val="single" w:sz="4" w:space="1" w:color="auto"/>
          <w:bottom w:val="single" w:sz="4" w:space="1" w:color="auto"/>
        </w:pBdr>
        <w:tabs>
          <w:tab w:val="left" w:pos="3420"/>
        </w:tabs>
        <w:spacing w:line="240" w:lineRule="auto"/>
        <w:jc w:val="center"/>
        <w:rPr>
          <w:rFonts w:ascii="Arial" w:hAnsi="Arial" w:cs="Arial"/>
          <w:sz w:val="24"/>
          <w:szCs w:val="24"/>
        </w:rPr>
      </w:pPr>
      <w:r w:rsidRPr="00342FC6">
        <w:rPr>
          <w:rFonts w:ascii="Arial" w:hAnsi="Arial" w:cs="Arial"/>
          <w:sz w:val="24"/>
          <w:szCs w:val="24"/>
        </w:rPr>
        <w:t xml:space="preserve">Established by the Commissioner for Children and Young People (Scotland) Act 2003, the Commissioner is responsible for promoting and safeguarding the rights of all children and young people in Scotland, giving particular attention to the United Nations Convention on the Rights of the Child (UNCRC). The Commissioner has powers to review law, </w:t>
      </w:r>
      <w:proofErr w:type="gramStart"/>
      <w:r w:rsidRPr="00342FC6">
        <w:rPr>
          <w:rFonts w:ascii="Arial" w:hAnsi="Arial" w:cs="Arial"/>
          <w:sz w:val="24"/>
          <w:szCs w:val="24"/>
        </w:rPr>
        <w:t>policy</w:t>
      </w:r>
      <w:proofErr w:type="gramEnd"/>
      <w:r w:rsidRPr="00342FC6">
        <w:rPr>
          <w:rFonts w:ascii="Arial" w:hAnsi="Arial" w:cs="Arial"/>
          <w:sz w:val="24"/>
          <w:szCs w:val="24"/>
        </w:rPr>
        <w:t xml:space="preserve"> and practice and to take action to promote and protect rights. </w:t>
      </w:r>
    </w:p>
    <w:p w14:paraId="6A028D58" w14:textId="77777777" w:rsidR="00FC07F2" w:rsidRPr="00342FC6" w:rsidRDefault="00FC07F2" w:rsidP="00FC07F2">
      <w:pPr>
        <w:pBdr>
          <w:top w:val="single" w:sz="4" w:space="1" w:color="auto"/>
          <w:bottom w:val="single" w:sz="4" w:space="1" w:color="auto"/>
        </w:pBdr>
        <w:tabs>
          <w:tab w:val="left" w:pos="3420"/>
        </w:tabs>
        <w:spacing w:line="240" w:lineRule="auto"/>
        <w:jc w:val="center"/>
        <w:rPr>
          <w:rFonts w:ascii="Arial" w:hAnsi="Arial" w:cs="Arial"/>
          <w:b/>
          <w:bCs/>
          <w:sz w:val="24"/>
          <w:szCs w:val="24"/>
        </w:rPr>
      </w:pPr>
      <w:r w:rsidRPr="00342FC6">
        <w:rPr>
          <w:rFonts w:ascii="Arial" w:hAnsi="Arial" w:cs="Arial"/>
          <w:sz w:val="24"/>
          <w:szCs w:val="24"/>
        </w:rPr>
        <w:t>The Commissioner is fully independent of the Scottish Government.</w:t>
      </w:r>
    </w:p>
    <w:p w14:paraId="7EF56532" w14:textId="77777777" w:rsidR="00A22DDF" w:rsidRPr="00342FC6" w:rsidRDefault="00A22DDF" w:rsidP="6640F807">
      <w:pPr>
        <w:spacing w:line="240" w:lineRule="auto"/>
        <w:rPr>
          <w:rFonts w:ascii="Arial" w:hAnsi="Arial" w:cs="Arial"/>
          <w:sz w:val="24"/>
          <w:szCs w:val="24"/>
        </w:rPr>
      </w:pPr>
    </w:p>
    <w:p w14:paraId="7CE734AB" w14:textId="5D838506" w:rsidR="00342FC6" w:rsidRPr="00342FC6" w:rsidRDefault="00342FC6" w:rsidP="00D6538F">
      <w:pPr>
        <w:ind w:left="567" w:hanging="567"/>
        <w:rPr>
          <w:rFonts w:ascii="Arial" w:hAnsi="Arial" w:cs="Arial"/>
          <w:bCs/>
          <w:sz w:val="24"/>
          <w:szCs w:val="24"/>
        </w:rPr>
      </w:pPr>
      <w:r w:rsidRPr="00342FC6">
        <w:rPr>
          <w:rFonts w:ascii="Arial" w:hAnsi="Arial" w:cs="Arial"/>
          <w:bCs/>
          <w:sz w:val="24"/>
          <w:szCs w:val="24"/>
        </w:rPr>
        <w:t xml:space="preserve">This consultation was submitted via the Scottish Government’s Consultation Hub. </w:t>
      </w:r>
    </w:p>
    <w:p w14:paraId="757BBCD5" w14:textId="77777777" w:rsidR="00342FC6" w:rsidRPr="00342FC6" w:rsidRDefault="00342FC6" w:rsidP="00D6538F">
      <w:pPr>
        <w:spacing w:line="240" w:lineRule="auto"/>
        <w:ind w:left="567" w:hanging="567"/>
        <w:rPr>
          <w:rFonts w:ascii="Arial" w:hAnsi="Arial" w:cs="Arial"/>
          <w:b/>
          <w:sz w:val="24"/>
          <w:szCs w:val="24"/>
        </w:rPr>
      </w:pPr>
    </w:p>
    <w:p w14:paraId="27083EC7" w14:textId="77777777" w:rsidR="00342FC6" w:rsidRPr="00342FC6" w:rsidRDefault="00342FC6" w:rsidP="00D6538F">
      <w:pPr>
        <w:pStyle w:val="PlainText"/>
        <w:ind w:left="567" w:hanging="567"/>
        <w:rPr>
          <w:rFonts w:cs="Arial"/>
          <w:b/>
          <w:szCs w:val="24"/>
        </w:rPr>
      </w:pPr>
      <w:r w:rsidRPr="00342FC6">
        <w:rPr>
          <w:rFonts w:cs="Arial"/>
          <w:b/>
          <w:szCs w:val="24"/>
        </w:rPr>
        <w:t>Part 2 Guidance</w:t>
      </w:r>
    </w:p>
    <w:p w14:paraId="025D1477" w14:textId="77777777" w:rsidR="00342FC6" w:rsidRPr="00342FC6" w:rsidRDefault="00342FC6" w:rsidP="00D6538F">
      <w:pPr>
        <w:pStyle w:val="PlainText"/>
        <w:ind w:left="567" w:hanging="567"/>
        <w:rPr>
          <w:rFonts w:cs="Arial"/>
          <w:szCs w:val="24"/>
          <w:highlight w:val="yellow"/>
        </w:rPr>
      </w:pPr>
    </w:p>
    <w:p w14:paraId="47E6C73C" w14:textId="77777777" w:rsidR="00342FC6" w:rsidRPr="00342FC6" w:rsidRDefault="00342FC6" w:rsidP="00D6538F">
      <w:pPr>
        <w:pStyle w:val="PlainText"/>
        <w:ind w:left="567" w:hanging="567"/>
        <w:rPr>
          <w:rFonts w:cs="Arial"/>
          <w:szCs w:val="24"/>
        </w:rPr>
      </w:pPr>
      <w:r w:rsidRPr="00342FC6">
        <w:rPr>
          <w:rFonts w:cs="Arial"/>
          <w:szCs w:val="24"/>
        </w:rPr>
        <w:t>The following consultation questions 1-14, relate to the draft statutory guidance on Part 2 of the UNCRC Act. This is particularly relevant to public authorities.</w:t>
      </w:r>
    </w:p>
    <w:p w14:paraId="7B7636DE" w14:textId="77777777" w:rsidR="00342FC6" w:rsidRPr="00342FC6" w:rsidRDefault="00342FC6" w:rsidP="00D6538F">
      <w:pPr>
        <w:pStyle w:val="PlainText"/>
        <w:ind w:left="567" w:hanging="567"/>
        <w:rPr>
          <w:rFonts w:cs="Arial"/>
          <w:szCs w:val="24"/>
        </w:rPr>
      </w:pPr>
    </w:p>
    <w:p w14:paraId="0123CCFA" w14:textId="5DD6E03D" w:rsidR="00342FC6" w:rsidRPr="00342FC6" w:rsidRDefault="00D6538F" w:rsidP="00D6538F">
      <w:pPr>
        <w:pStyle w:val="PlainText"/>
        <w:ind w:left="567" w:hanging="567"/>
        <w:jc w:val="both"/>
        <w:rPr>
          <w:rFonts w:cs="Arial"/>
          <w:szCs w:val="24"/>
        </w:rPr>
      </w:pPr>
      <w:r w:rsidRPr="00D6538F">
        <w:rPr>
          <w:rFonts w:cs="Arial"/>
          <w:szCs w:val="24"/>
        </w:rPr>
        <w:t>1.</w:t>
      </w:r>
      <w:r>
        <w:rPr>
          <w:rFonts w:cs="Arial"/>
          <w:szCs w:val="24"/>
        </w:rPr>
        <w:tab/>
        <w:t>I</w:t>
      </w:r>
      <w:r w:rsidR="00342FC6" w:rsidRPr="00342FC6">
        <w:rPr>
          <w:rFonts w:cs="Arial"/>
          <w:szCs w:val="24"/>
        </w:rPr>
        <w:t xml:space="preserve"> have read the draft statutory guidance on Part 2 of the UNCRC Act </w:t>
      </w:r>
    </w:p>
    <w:p w14:paraId="557B3CB4" w14:textId="77777777" w:rsidR="00342FC6" w:rsidRPr="00342FC6" w:rsidRDefault="00342FC6" w:rsidP="00D6538F">
      <w:pPr>
        <w:pStyle w:val="PlainText"/>
        <w:ind w:left="567" w:hanging="567"/>
        <w:rPr>
          <w:rFonts w:cs="Arial"/>
          <w:szCs w:val="24"/>
        </w:rPr>
      </w:pPr>
    </w:p>
    <w:p w14:paraId="73D4B3D5" w14:textId="77777777" w:rsidR="00342FC6" w:rsidRPr="00342FC6" w:rsidRDefault="00000000" w:rsidP="00D6538F">
      <w:pPr>
        <w:pStyle w:val="PlainText"/>
        <w:ind w:left="1134" w:hanging="567"/>
        <w:rPr>
          <w:rFonts w:cs="Arial"/>
          <w:szCs w:val="24"/>
        </w:rPr>
      </w:pPr>
      <w:sdt>
        <w:sdtPr>
          <w:rPr>
            <w:rFonts w:cs="Arial"/>
            <w:szCs w:val="24"/>
          </w:rPr>
          <w:id w:val="154116409"/>
          <w14:checkbox>
            <w14:checked w14:val="1"/>
            <w14:checkedState w14:val="2612" w14:font="MS Gothic"/>
            <w14:uncheckedState w14:val="2610" w14:font="MS Gothic"/>
          </w14:checkbox>
        </w:sdtPr>
        <w:sdtContent>
          <w:r w:rsidR="00342FC6" w:rsidRPr="00342FC6">
            <w:rPr>
              <w:rFonts w:ascii="Segoe UI Symbol" w:eastAsia="MS Gothic" w:hAnsi="Segoe UI Symbol" w:cs="Segoe UI Symbol"/>
              <w:szCs w:val="24"/>
            </w:rPr>
            <w:t>☒</w:t>
          </w:r>
        </w:sdtContent>
      </w:sdt>
      <w:r w:rsidR="00342FC6" w:rsidRPr="00342FC6">
        <w:rPr>
          <w:rFonts w:cs="Arial"/>
          <w:szCs w:val="24"/>
        </w:rPr>
        <w:t xml:space="preserve">Yes </w:t>
      </w:r>
    </w:p>
    <w:p w14:paraId="4203F401" w14:textId="11C51123" w:rsidR="00342FC6" w:rsidRPr="00342FC6" w:rsidRDefault="00000000" w:rsidP="00D6538F">
      <w:pPr>
        <w:pStyle w:val="PlainText"/>
        <w:ind w:left="1134" w:hanging="567"/>
        <w:rPr>
          <w:rFonts w:cs="Arial"/>
          <w:szCs w:val="24"/>
        </w:rPr>
      </w:pPr>
      <w:sdt>
        <w:sdtPr>
          <w:rPr>
            <w:rFonts w:cs="Arial"/>
            <w:szCs w:val="24"/>
          </w:rPr>
          <w:id w:val="2106146187"/>
          <w14:checkbox>
            <w14:checked w14:val="0"/>
            <w14:checkedState w14:val="2612" w14:font="MS Gothic"/>
            <w14:uncheckedState w14:val="2610" w14:font="MS Gothic"/>
          </w14:checkbox>
        </w:sdtPr>
        <w:sdtContent>
          <w:r w:rsidR="00D6538F">
            <w:rPr>
              <w:rFonts w:ascii="MS Gothic" w:eastAsia="MS Gothic" w:hAnsi="MS Gothic" w:cs="Arial" w:hint="eastAsia"/>
              <w:szCs w:val="24"/>
            </w:rPr>
            <w:t>☐</w:t>
          </w:r>
        </w:sdtContent>
      </w:sdt>
      <w:r w:rsidR="00342FC6" w:rsidRPr="00342FC6">
        <w:rPr>
          <w:rFonts w:cs="Arial"/>
          <w:szCs w:val="24"/>
        </w:rPr>
        <w:t>No</w:t>
      </w:r>
    </w:p>
    <w:p w14:paraId="2A70A087" w14:textId="77777777" w:rsidR="00342FC6" w:rsidRPr="00342FC6" w:rsidRDefault="00342FC6" w:rsidP="00D6538F">
      <w:pPr>
        <w:pStyle w:val="PlainText"/>
        <w:ind w:left="567" w:hanging="567"/>
        <w:rPr>
          <w:rFonts w:cs="Arial"/>
          <w:szCs w:val="24"/>
        </w:rPr>
      </w:pPr>
    </w:p>
    <w:p w14:paraId="3DCB2825" w14:textId="667B2253" w:rsidR="00342FC6" w:rsidRPr="00342FC6" w:rsidRDefault="00D6538F" w:rsidP="00D6538F">
      <w:pPr>
        <w:pStyle w:val="PlainText"/>
        <w:ind w:left="720" w:hanging="720"/>
        <w:jc w:val="both"/>
        <w:rPr>
          <w:rFonts w:cs="Arial"/>
          <w:szCs w:val="24"/>
        </w:rPr>
      </w:pPr>
      <w:r>
        <w:rPr>
          <w:rFonts w:cs="Arial"/>
          <w:szCs w:val="24"/>
        </w:rPr>
        <w:t>2.</w:t>
      </w:r>
      <w:r>
        <w:rPr>
          <w:rFonts w:cs="Arial"/>
          <w:szCs w:val="24"/>
        </w:rPr>
        <w:tab/>
      </w:r>
      <w:r w:rsidR="00342FC6" w:rsidRPr="00342FC6">
        <w:rPr>
          <w:rFonts w:cs="Arial"/>
          <w:szCs w:val="24"/>
        </w:rPr>
        <w:t xml:space="preserve">Section </w:t>
      </w:r>
      <w:proofErr w:type="gramStart"/>
      <w:r w:rsidR="00342FC6" w:rsidRPr="00342FC6">
        <w:rPr>
          <w:rFonts w:cs="Arial"/>
          <w:szCs w:val="24"/>
        </w:rPr>
        <w:t>3,  ’</w:t>
      </w:r>
      <w:proofErr w:type="gramEnd"/>
      <w:r w:rsidR="00342FC6" w:rsidRPr="00342FC6">
        <w:rPr>
          <w:rFonts w:cs="Arial"/>
          <w:b/>
          <w:bCs/>
          <w:szCs w:val="24"/>
        </w:rPr>
        <w:t xml:space="preserve">Background and introduction to the UNCRC Act’, </w:t>
      </w:r>
      <w:r w:rsidR="00342FC6" w:rsidRPr="00342FC6">
        <w:rPr>
          <w:rFonts w:cs="Arial"/>
          <w:szCs w:val="24"/>
        </w:rPr>
        <w:t xml:space="preserve">provides sufficient information on the UNCRC and the background to incorporation. </w:t>
      </w:r>
    </w:p>
    <w:p w14:paraId="35CFE9C2" w14:textId="77777777" w:rsidR="00342FC6" w:rsidRPr="00342FC6" w:rsidRDefault="00342FC6" w:rsidP="00D6538F">
      <w:pPr>
        <w:pStyle w:val="PlainText"/>
        <w:ind w:left="567" w:hanging="567"/>
        <w:rPr>
          <w:rFonts w:cs="Arial"/>
          <w:szCs w:val="24"/>
        </w:rPr>
      </w:pPr>
    </w:p>
    <w:p w14:paraId="04479AE9" w14:textId="77777777" w:rsidR="00342FC6" w:rsidRPr="00342FC6" w:rsidRDefault="00000000" w:rsidP="00D6538F">
      <w:pPr>
        <w:pStyle w:val="PlainText"/>
        <w:ind w:left="1134" w:hanging="567"/>
        <w:rPr>
          <w:rFonts w:cs="Arial"/>
          <w:szCs w:val="24"/>
        </w:rPr>
      </w:pPr>
      <w:sdt>
        <w:sdtPr>
          <w:rPr>
            <w:rFonts w:cs="Arial"/>
            <w:szCs w:val="24"/>
          </w:rPr>
          <w:id w:val="-1976357896"/>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4A0E918B" w14:textId="77777777" w:rsidR="00342FC6" w:rsidRPr="00342FC6" w:rsidRDefault="00000000" w:rsidP="00D6538F">
      <w:pPr>
        <w:pStyle w:val="PlainText"/>
        <w:ind w:left="1134" w:hanging="567"/>
        <w:rPr>
          <w:rFonts w:cs="Arial"/>
          <w:szCs w:val="24"/>
        </w:rPr>
      </w:pPr>
      <w:sdt>
        <w:sdtPr>
          <w:rPr>
            <w:rFonts w:cs="Arial"/>
            <w:szCs w:val="24"/>
          </w:rPr>
          <w:id w:val="1000939894"/>
          <w14:checkbox>
            <w14:checked w14:val="1"/>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Agree</w:t>
      </w:r>
    </w:p>
    <w:p w14:paraId="2BF2647A" w14:textId="77777777" w:rsidR="00342FC6" w:rsidRPr="00342FC6" w:rsidRDefault="00000000" w:rsidP="00D6538F">
      <w:pPr>
        <w:pStyle w:val="PlainText"/>
        <w:ind w:left="1134" w:hanging="567"/>
        <w:rPr>
          <w:rFonts w:cs="Arial"/>
          <w:szCs w:val="24"/>
        </w:rPr>
      </w:pPr>
      <w:sdt>
        <w:sdtPr>
          <w:rPr>
            <w:rFonts w:cs="Arial"/>
            <w:szCs w:val="24"/>
          </w:rPr>
          <w:id w:val="820154857"/>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Neither agree nor disagree</w:t>
      </w:r>
    </w:p>
    <w:p w14:paraId="0D057424" w14:textId="77777777" w:rsidR="00342FC6" w:rsidRPr="00342FC6" w:rsidRDefault="00000000" w:rsidP="00D6538F">
      <w:pPr>
        <w:pStyle w:val="PlainText"/>
        <w:ind w:left="1134" w:hanging="567"/>
        <w:rPr>
          <w:rFonts w:cs="Arial"/>
          <w:szCs w:val="24"/>
        </w:rPr>
      </w:pPr>
      <w:sdt>
        <w:sdtPr>
          <w:rPr>
            <w:rFonts w:cs="Arial"/>
            <w:szCs w:val="24"/>
          </w:rPr>
          <w:id w:val="-1052227205"/>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Disagree</w:t>
      </w:r>
    </w:p>
    <w:p w14:paraId="2545380F" w14:textId="77777777" w:rsidR="00342FC6" w:rsidRPr="00342FC6" w:rsidRDefault="00000000" w:rsidP="00D6538F">
      <w:pPr>
        <w:pStyle w:val="PlainText"/>
        <w:ind w:left="1134" w:hanging="567"/>
        <w:rPr>
          <w:rFonts w:cs="Arial"/>
          <w:szCs w:val="24"/>
        </w:rPr>
      </w:pPr>
      <w:sdt>
        <w:sdtPr>
          <w:rPr>
            <w:rFonts w:cs="Arial"/>
            <w:szCs w:val="24"/>
          </w:rPr>
          <w:id w:val="-1221507948"/>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6B846D04" w14:textId="77777777" w:rsidR="00342FC6" w:rsidRPr="00342FC6" w:rsidRDefault="00342FC6" w:rsidP="00D6538F">
      <w:pPr>
        <w:pStyle w:val="PlainText"/>
        <w:ind w:left="567" w:hanging="567"/>
        <w:rPr>
          <w:rFonts w:ascii="MS Gothic" w:eastAsia="MS Gothic" w:hAnsi="MS Gothic" w:cs="Arial"/>
          <w:szCs w:val="24"/>
        </w:rPr>
      </w:pPr>
    </w:p>
    <w:p w14:paraId="6C60FC44" w14:textId="77777777"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 xml:space="preserve">We note that the guidance variously refers to our office by either our full or legal names, as CYPCS or as “the Commissioner”. If it is not possible to use our full name, we would prefer “CYPCS” be used rather than “the Commissioner” to avoid confusion with other commissioners. Likewise, references to the UNCRC should be specific, as use of “the Convention” may result in confusion with other conventions such as the ECHR. </w:t>
      </w:r>
    </w:p>
    <w:p w14:paraId="20B125A5" w14:textId="77777777" w:rsidR="00D6538F" w:rsidRDefault="00D6538F" w:rsidP="00D6538F">
      <w:pPr>
        <w:pStyle w:val="ListParagraph"/>
        <w:ind w:left="567"/>
        <w:rPr>
          <w:rFonts w:ascii="Arial" w:hAnsi="Arial" w:cs="Arial"/>
          <w:sz w:val="24"/>
          <w:szCs w:val="24"/>
        </w:rPr>
      </w:pPr>
    </w:p>
    <w:p w14:paraId="1969A7FB" w14:textId="3DDEA01C"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 xml:space="preserve">The guidance should make clearer the role that Children’s Rights Impact Assessments can play in ensuring that public authorities act compatibly with the </w:t>
      </w:r>
      <w:r w:rsidRPr="00342FC6">
        <w:rPr>
          <w:rFonts w:ascii="Arial" w:hAnsi="Arial" w:cs="Arial"/>
          <w:sz w:val="24"/>
          <w:szCs w:val="24"/>
        </w:rPr>
        <w:lastRenderedPageBreak/>
        <w:t>UNCRC. Whilst CRIA are not a statutory requirement under the act for public authorities (</w:t>
      </w:r>
      <w:proofErr w:type="gramStart"/>
      <w:r w:rsidRPr="00342FC6">
        <w:rPr>
          <w:rFonts w:ascii="Arial" w:hAnsi="Arial" w:cs="Arial"/>
          <w:sz w:val="24"/>
          <w:szCs w:val="24"/>
        </w:rPr>
        <w:t>with the exception of</w:t>
      </w:r>
      <w:proofErr w:type="gramEnd"/>
      <w:r w:rsidRPr="00342FC6">
        <w:rPr>
          <w:rFonts w:ascii="Arial" w:hAnsi="Arial" w:cs="Arial"/>
          <w:sz w:val="24"/>
          <w:szCs w:val="24"/>
        </w:rPr>
        <w:t xml:space="preserve"> the Scottish Government) they nonetheless represent a well-established and internationally recognised means of demonstrating that due regard has been taken of children’s rights and that decisions are compatible with the UNCRC, in a similar way that Equality Impact Assessments demonstrate compliance with the Equality Act 2010. </w:t>
      </w:r>
    </w:p>
    <w:p w14:paraId="4555D7EA" w14:textId="77777777" w:rsidR="00D6538F" w:rsidRDefault="00D6538F" w:rsidP="00D6538F">
      <w:pPr>
        <w:pStyle w:val="ListParagraph"/>
        <w:ind w:left="567"/>
        <w:rPr>
          <w:rFonts w:ascii="Arial" w:hAnsi="Arial" w:cs="Arial"/>
          <w:sz w:val="24"/>
          <w:szCs w:val="24"/>
        </w:rPr>
      </w:pPr>
    </w:p>
    <w:p w14:paraId="02302CB3" w14:textId="4E484397"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 xml:space="preserve">Our view is that the potential value of CRIA should be highlighted throughout the guidance and the first opportunities to do so are in paragraph 2 of page 4 and paragraph 3 of page 5. </w:t>
      </w:r>
    </w:p>
    <w:p w14:paraId="0D2F7D56" w14:textId="77777777" w:rsidR="00342FC6" w:rsidRPr="00342FC6" w:rsidRDefault="00342FC6" w:rsidP="00D6538F">
      <w:pPr>
        <w:pStyle w:val="ListParagraph"/>
        <w:ind w:left="567"/>
        <w:rPr>
          <w:rFonts w:ascii="Arial" w:hAnsi="Arial" w:cs="Arial"/>
          <w:sz w:val="24"/>
          <w:szCs w:val="24"/>
        </w:rPr>
      </w:pPr>
    </w:p>
    <w:p w14:paraId="71E80975" w14:textId="77777777"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Section 3 of the draft guidance provides a broad overview of the development of human rights law over the latter half of the 20</w:t>
      </w:r>
      <w:r w:rsidRPr="00342FC6">
        <w:rPr>
          <w:rFonts w:ascii="Arial" w:hAnsi="Arial" w:cs="Arial"/>
          <w:sz w:val="24"/>
          <w:szCs w:val="24"/>
          <w:vertAlign w:val="superscript"/>
        </w:rPr>
        <w:t>th</w:t>
      </w:r>
      <w:r w:rsidRPr="00342FC6">
        <w:rPr>
          <w:rFonts w:ascii="Arial" w:hAnsi="Arial" w:cs="Arial"/>
          <w:sz w:val="24"/>
          <w:szCs w:val="24"/>
        </w:rPr>
        <w:t xml:space="preserve"> century. Within this, it would be useful to differentiate between non-binding declarations, including the Universal Declaration on Human Rights (UDHR) and binding international treaties such as the UNCRC. It is also important to highlight the two binding International Covenants – on Civil and Political Rights (IICPR) and Economic Social and Cultural Rights (ICESCR) as important steps towards the development of the UNCRC. By contrast we feel that mention of the Charter of the United Nations is probably superfluous and could cause confusion as it is not a human rights instrument per </w:t>
      </w:r>
      <w:proofErr w:type="gramStart"/>
      <w:r w:rsidRPr="00342FC6">
        <w:rPr>
          <w:rFonts w:ascii="Arial" w:hAnsi="Arial" w:cs="Arial"/>
          <w:sz w:val="24"/>
          <w:szCs w:val="24"/>
        </w:rPr>
        <w:t>se</w:t>
      </w:r>
      <w:proofErr w:type="gramEnd"/>
      <w:r w:rsidRPr="00342FC6">
        <w:rPr>
          <w:rFonts w:ascii="Arial" w:hAnsi="Arial" w:cs="Arial"/>
          <w:sz w:val="24"/>
          <w:szCs w:val="24"/>
        </w:rPr>
        <w:t xml:space="preserve"> and its human rights elements are elaborated on in the UDHR. </w:t>
      </w:r>
    </w:p>
    <w:p w14:paraId="6DBFCDB2" w14:textId="77777777" w:rsidR="00342FC6" w:rsidRPr="00342FC6" w:rsidRDefault="00342FC6" w:rsidP="00D6538F">
      <w:pPr>
        <w:pStyle w:val="ListParagraph"/>
        <w:ind w:left="567"/>
        <w:rPr>
          <w:rFonts w:ascii="Arial" w:hAnsi="Arial" w:cs="Arial"/>
          <w:sz w:val="24"/>
          <w:szCs w:val="24"/>
        </w:rPr>
      </w:pPr>
    </w:p>
    <w:p w14:paraId="72430E7C" w14:textId="77777777"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 xml:space="preserve">We welcome the use of UNCRC Article 2 discrimination language on page 7 and feel it would be useful to indicate the source is Article 2, to explain the variance with Equality Act protected characteristics. </w:t>
      </w:r>
    </w:p>
    <w:p w14:paraId="118FAFBF" w14:textId="77777777" w:rsidR="00342FC6" w:rsidRPr="00342FC6" w:rsidRDefault="00342FC6" w:rsidP="00D6538F">
      <w:pPr>
        <w:pStyle w:val="ListParagraph"/>
        <w:ind w:left="567" w:hanging="567"/>
        <w:rPr>
          <w:rFonts w:ascii="Arial" w:hAnsi="Arial" w:cs="Arial"/>
          <w:sz w:val="24"/>
          <w:szCs w:val="24"/>
        </w:rPr>
      </w:pPr>
    </w:p>
    <w:p w14:paraId="5056003D" w14:textId="77777777"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The understanding of Article 12 was elaborated on by the UN Committee on the Rights of the Child and is better described as a right to *</w:t>
      </w:r>
      <w:r w:rsidRPr="00342FC6">
        <w:rPr>
          <w:rFonts w:ascii="Arial" w:hAnsi="Arial" w:cs="Arial"/>
          <w:b/>
          <w:bCs/>
          <w:sz w:val="24"/>
          <w:szCs w:val="24"/>
        </w:rPr>
        <w:t>participate*</w:t>
      </w:r>
      <w:r w:rsidRPr="00342FC6">
        <w:rPr>
          <w:rFonts w:ascii="Arial" w:hAnsi="Arial" w:cs="Arial"/>
          <w:sz w:val="24"/>
          <w:szCs w:val="24"/>
        </w:rPr>
        <w:t xml:space="preserve"> rather than to be heard (or as the voice of the child). We would prefer that it be referred to as such throughout the UNCRC guidance. </w:t>
      </w:r>
    </w:p>
    <w:p w14:paraId="2F42B36D" w14:textId="77777777" w:rsidR="00342FC6" w:rsidRPr="00342FC6" w:rsidRDefault="00342FC6" w:rsidP="00D6538F">
      <w:pPr>
        <w:pStyle w:val="PlainText"/>
        <w:ind w:left="567" w:hanging="567"/>
        <w:rPr>
          <w:rFonts w:cs="Arial"/>
          <w:szCs w:val="24"/>
        </w:rPr>
      </w:pPr>
    </w:p>
    <w:p w14:paraId="2CEA3C22" w14:textId="3627CE6D" w:rsidR="00342FC6" w:rsidRPr="00342FC6" w:rsidRDefault="00D6538F" w:rsidP="00D6538F">
      <w:pPr>
        <w:pStyle w:val="PlainText"/>
        <w:ind w:left="720" w:hanging="720"/>
        <w:jc w:val="both"/>
        <w:rPr>
          <w:rFonts w:cs="Arial"/>
          <w:szCs w:val="24"/>
        </w:rPr>
      </w:pPr>
      <w:r>
        <w:rPr>
          <w:rFonts w:cs="Arial"/>
          <w:szCs w:val="24"/>
        </w:rPr>
        <w:t>3.</w:t>
      </w:r>
      <w:r>
        <w:rPr>
          <w:rFonts w:cs="Arial"/>
          <w:szCs w:val="24"/>
        </w:rPr>
        <w:tab/>
      </w:r>
      <w:r w:rsidR="00342FC6" w:rsidRPr="00342FC6">
        <w:rPr>
          <w:rFonts w:cs="Arial"/>
          <w:szCs w:val="24"/>
        </w:rPr>
        <w:t>Section 3.4, ‘</w:t>
      </w:r>
      <w:r w:rsidR="00342FC6" w:rsidRPr="00342FC6">
        <w:rPr>
          <w:rFonts w:cs="Arial"/>
          <w:b/>
          <w:bCs/>
          <w:szCs w:val="24"/>
        </w:rPr>
        <w:t>Meaning of UNCRC requirements</w:t>
      </w:r>
      <w:r w:rsidR="00342FC6" w:rsidRPr="00342FC6">
        <w:rPr>
          <w:rFonts w:cs="Arial"/>
          <w:szCs w:val="24"/>
        </w:rPr>
        <w:t>’, clearly articulates what is meant by this in relation to the section 6 duty.</w:t>
      </w:r>
    </w:p>
    <w:p w14:paraId="3111AE88" w14:textId="77777777" w:rsidR="00342FC6" w:rsidRPr="00342FC6" w:rsidRDefault="00342FC6" w:rsidP="00D6538F">
      <w:pPr>
        <w:pStyle w:val="PlainText"/>
        <w:ind w:left="567" w:hanging="567"/>
        <w:rPr>
          <w:rFonts w:cs="Arial"/>
          <w:szCs w:val="24"/>
        </w:rPr>
      </w:pPr>
    </w:p>
    <w:p w14:paraId="0E616A81" w14:textId="77777777" w:rsidR="00342FC6" w:rsidRPr="00342FC6" w:rsidRDefault="00000000" w:rsidP="00D6538F">
      <w:pPr>
        <w:pStyle w:val="PlainText"/>
        <w:ind w:left="1287" w:hanging="567"/>
        <w:rPr>
          <w:rFonts w:cs="Arial"/>
          <w:szCs w:val="24"/>
        </w:rPr>
      </w:pPr>
      <w:sdt>
        <w:sdtPr>
          <w:rPr>
            <w:rFonts w:cs="Arial"/>
            <w:szCs w:val="24"/>
          </w:rPr>
          <w:id w:val="-989866509"/>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4A3F9B33" w14:textId="77777777" w:rsidR="00342FC6" w:rsidRPr="00342FC6" w:rsidRDefault="00000000" w:rsidP="00D6538F">
      <w:pPr>
        <w:pStyle w:val="PlainText"/>
        <w:ind w:left="1287" w:hanging="567"/>
        <w:rPr>
          <w:rFonts w:cs="Arial"/>
          <w:szCs w:val="24"/>
        </w:rPr>
      </w:pPr>
      <w:sdt>
        <w:sdtPr>
          <w:rPr>
            <w:rFonts w:cs="Arial"/>
            <w:szCs w:val="24"/>
          </w:rPr>
          <w:id w:val="1199661556"/>
          <w14:checkbox>
            <w14:checked w14:val="1"/>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Agree</w:t>
      </w:r>
    </w:p>
    <w:p w14:paraId="0531C02F" w14:textId="77777777" w:rsidR="00342FC6" w:rsidRPr="00342FC6" w:rsidRDefault="00000000" w:rsidP="00D6538F">
      <w:pPr>
        <w:pStyle w:val="PlainText"/>
        <w:ind w:left="1287" w:hanging="567"/>
        <w:rPr>
          <w:rFonts w:cs="Arial"/>
          <w:szCs w:val="24"/>
        </w:rPr>
      </w:pPr>
      <w:sdt>
        <w:sdtPr>
          <w:rPr>
            <w:rFonts w:cs="Arial"/>
            <w:szCs w:val="24"/>
          </w:rPr>
          <w:id w:val="461161342"/>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Neither agree nor disagree</w:t>
      </w:r>
    </w:p>
    <w:p w14:paraId="60A67794" w14:textId="77777777" w:rsidR="00342FC6" w:rsidRPr="00342FC6" w:rsidRDefault="00000000" w:rsidP="00D6538F">
      <w:pPr>
        <w:pStyle w:val="PlainText"/>
        <w:ind w:left="1287" w:hanging="567"/>
        <w:rPr>
          <w:rFonts w:cs="Arial"/>
          <w:szCs w:val="24"/>
        </w:rPr>
      </w:pPr>
      <w:sdt>
        <w:sdtPr>
          <w:rPr>
            <w:rFonts w:cs="Arial"/>
            <w:szCs w:val="24"/>
          </w:rPr>
          <w:id w:val="366576574"/>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Disagree</w:t>
      </w:r>
    </w:p>
    <w:p w14:paraId="6D4664EB" w14:textId="77777777" w:rsidR="00342FC6" w:rsidRPr="00342FC6" w:rsidRDefault="00000000" w:rsidP="00D6538F">
      <w:pPr>
        <w:pStyle w:val="PlainText"/>
        <w:ind w:left="1287" w:hanging="567"/>
        <w:rPr>
          <w:rFonts w:cs="Arial"/>
          <w:szCs w:val="24"/>
        </w:rPr>
      </w:pPr>
      <w:sdt>
        <w:sdtPr>
          <w:rPr>
            <w:rFonts w:cs="Arial"/>
            <w:szCs w:val="24"/>
          </w:rPr>
          <w:id w:val="1774595463"/>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7C0C0165" w14:textId="77777777" w:rsidR="00342FC6" w:rsidRDefault="00342FC6" w:rsidP="00D6538F">
      <w:pPr>
        <w:pStyle w:val="PlainText"/>
        <w:ind w:left="567" w:hanging="567"/>
        <w:rPr>
          <w:rFonts w:cs="Arial"/>
          <w:szCs w:val="24"/>
        </w:rPr>
      </w:pPr>
    </w:p>
    <w:p w14:paraId="5D3768FB" w14:textId="77777777" w:rsidR="00342FC6" w:rsidRPr="00342FC6" w:rsidRDefault="00342FC6" w:rsidP="00D6538F">
      <w:pPr>
        <w:pStyle w:val="ListParagraph"/>
        <w:rPr>
          <w:rFonts w:ascii="Arial" w:hAnsi="Arial" w:cs="Arial"/>
          <w:sz w:val="24"/>
          <w:szCs w:val="24"/>
        </w:rPr>
      </w:pPr>
      <w:r w:rsidRPr="00342FC6">
        <w:rPr>
          <w:rFonts w:ascii="Arial" w:hAnsi="Arial" w:cs="Arial"/>
          <w:sz w:val="24"/>
          <w:szCs w:val="24"/>
        </w:rPr>
        <w:t xml:space="preserve">It needs to be clear that UNCRC requirements includes the contents of the two Optional Protocols ratified by the UK. The Optional Protocols have the same status as the substantive rights within the UNCRC itself. Reference should also be made to the interpretative sources outlined in section 4 of the </w:t>
      </w:r>
      <w:r w:rsidRPr="00342FC6">
        <w:rPr>
          <w:rFonts w:ascii="Arial" w:hAnsi="Arial" w:cs="Arial"/>
          <w:sz w:val="24"/>
          <w:szCs w:val="24"/>
        </w:rPr>
        <w:lastRenderedPageBreak/>
        <w:t xml:space="preserve">Act, which may assist in understanding the UNCRC, in particular the importance of General Comments. </w:t>
      </w:r>
    </w:p>
    <w:p w14:paraId="31C34D7C" w14:textId="77777777" w:rsidR="00342FC6" w:rsidRPr="00342FC6" w:rsidRDefault="00342FC6" w:rsidP="00D6538F">
      <w:pPr>
        <w:pStyle w:val="ListParagraph"/>
        <w:rPr>
          <w:rFonts w:ascii="Arial" w:hAnsi="Arial" w:cs="Arial"/>
          <w:sz w:val="24"/>
          <w:szCs w:val="24"/>
        </w:rPr>
      </w:pPr>
    </w:p>
    <w:p w14:paraId="2C8061E5" w14:textId="77777777" w:rsidR="00342FC6" w:rsidRPr="00342FC6" w:rsidRDefault="00342FC6" w:rsidP="00D6538F">
      <w:pPr>
        <w:pStyle w:val="ListParagraph"/>
        <w:rPr>
          <w:rFonts w:ascii="Arial" w:hAnsi="Arial" w:cs="Arial"/>
          <w:sz w:val="24"/>
          <w:szCs w:val="24"/>
        </w:rPr>
      </w:pPr>
      <w:r w:rsidRPr="00342FC6">
        <w:rPr>
          <w:rFonts w:ascii="Arial" w:hAnsi="Arial" w:cs="Arial"/>
          <w:sz w:val="24"/>
          <w:szCs w:val="24"/>
        </w:rPr>
        <w:t xml:space="preserve">We note that on page 11 the guidance states “In Scotland, civil and political rights are protected by the Human Rights Act 1998”. This is not entirely accurate as the European Convention on Human Rights (ECHR) explicitly includes some economic and social rights (not least the right to an education in Article 2 of Protocol 1) and the European Court on Human Rights has interpreted other articles as extending positive obligations in respect of economic, </w:t>
      </w:r>
      <w:proofErr w:type="gramStart"/>
      <w:r w:rsidRPr="00342FC6">
        <w:rPr>
          <w:rFonts w:ascii="Arial" w:hAnsi="Arial" w:cs="Arial"/>
          <w:sz w:val="24"/>
          <w:szCs w:val="24"/>
        </w:rPr>
        <w:t>social</w:t>
      </w:r>
      <w:proofErr w:type="gramEnd"/>
      <w:r w:rsidRPr="00342FC6">
        <w:rPr>
          <w:rFonts w:ascii="Arial" w:hAnsi="Arial" w:cs="Arial"/>
          <w:sz w:val="24"/>
          <w:szCs w:val="24"/>
        </w:rPr>
        <w:t xml:space="preserve"> and cultural rights. </w:t>
      </w:r>
    </w:p>
    <w:p w14:paraId="54384B7B" w14:textId="77777777" w:rsidR="00342FC6" w:rsidRPr="00342FC6" w:rsidRDefault="00342FC6" w:rsidP="00D6538F">
      <w:pPr>
        <w:pStyle w:val="ListParagraph"/>
        <w:ind w:left="567" w:hanging="567"/>
        <w:rPr>
          <w:rFonts w:ascii="Arial" w:hAnsi="Arial" w:cs="Arial"/>
          <w:sz w:val="24"/>
          <w:szCs w:val="24"/>
        </w:rPr>
      </w:pPr>
    </w:p>
    <w:p w14:paraId="0EB49DDB" w14:textId="77777777"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 xml:space="preserve">We welcome the clarity that </w:t>
      </w:r>
      <w:proofErr w:type="gramStart"/>
      <w:r w:rsidRPr="00342FC6">
        <w:rPr>
          <w:rFonts w:ascii="Arial" w:hAnsi="Arial" w:cs="Arial"/>
          <w:sz w:val="24"/>
          <w:szCs w:val="24"/>
        </w:rPr>
        <w:t>independent</w:t>
      </w:r>
      <w:proofErr w:type="gramEnd"/>
      <w:r w:rsidRPr="00342FC6">
        <w:rPr>
          <w:rFonts w:ascii="Arial" w:hAnsi="Arial" w:cs="Arial"/>
          <w:sz w:val="24"/>
          <w:szCs w:val="24"/>
        </w:rPr>
        <w:t xml:space="preserve"> and third sector organisations may meet the definition of ‘public authority’ but we are not sure that it is clear from this guidance the circumstances where they do. We would recommend additional engagement with third sector organisations to ensure that this section of the guidance meets their needs.</w:t>
      </w:r>
    </w:p>
    <w:p w14:paraId="1C167AEA" w14:textId="77777777" w:rsidR="00342FC6" w:rsidRPr="00342FC6" w:rsidRDefault="00342FC6" w:rsidP="00D6538F">
      <w:pPr>
        <w:pStyle w:val="PlainText"/>
        <w:ind w:left="567" w:hanging="567"/>
        <w:rPr>
          <w:rFonts w:cs="Arial"/>
          <w:szCs w:val="24"/>
        </w:rPr>
      </w:pPr>
    </w:p>
    <w:p w14:paraId="25761A15" w14:textId="11C4D844" w:rsidR="00342FC6" w:rsidRPr="00342FC6" w:rsidRDefault="00D6538F" w:rsidP="00D6538F">
      <w:pPr>
        <w:pStyle w:val="PlainText"/>
        <w:jc w:val="both"/>
        <w:rPr>
          <w:rFonts w:cs="Arial"/>
          <w:szCs w:val="24"/>
        </w:rPr>
      </w:pPr>
      <w:r>
        <w:rPr>
          <w:rFonts w:cs="Arial"/>
          <w:szCs w:val="24"/>
        </w:rPr>
        <w:t>4.</w:t>
      </w:r>
      <w:r>
        <w:rPr>
          <w:rFonts w:cs="Arial"/>
          <w:szCs w:val="24"/>
        </w:rPr>
        <w:tab/>
      </w:r>
      <w:r w:rsidR="00342FC6" w:rsidRPr="00342FC6">
        <w:rPr>
          <w:rFonts w:cs="Arial"/>
          <w:szCs w:val="24"/>
        </w:rPr>
        <w:t>Section 4.2, ‘</w:t>
      </w:r>
      <w:r w:rsidR="00342FC6" w:rsidRPr="00342FC6">
        <w:rPr>
          <w:rFonts w:eastAsiaTheme="minorEastAsia" w:cs="Arial"/>
          <w:b/>
          <w:color w:val="000000" w:themeColor="text1"/>
          <w:kern w:val="24"/>
          <w:szCs w:val="24"/>
        </w:rPr>
        <w:t xml:space="preserve">Remedies for unlawful acts (sections 7 to 10)’ </w:t>
      </w:r>
      <w:r w:rsidR="00342FC6" w:rsidRPr="00342FC6">
        <w:rPr>
          <w:rFonts w:cs="Arial"/>
          <w:szCs w:val="24"/>
        </w:rPr>
        <w:t>is useful.</w:t>
      </w:r>
    </w:p>
    <w:p w14:paraId="3ED35E83" w14:textId="77777777" w:rsidR="00342FC6" w:rsidRPr="00342FC6" w:rsidRDefault="00342FC6" w:rsidP="00D6538F">
      <w:pPr>
        <w:pStyle w:val="PlainText"/>
        <w:ind w:left="567" w:hanging="567"/>
        <w:rPr>
          <w:rFonts w:cs="Arial"/>
          <w:szCs w:val="24"/>
        </w:rPr>
      </w:pPr>
    </w:p>
    <w:p w14:paraId="4DDD9AFC" w14:textId="77777777" w:rsidR="00342FC6" w:rsidRPr="00342FC6" w:rsidRDefault="00000000" w:rsidP="00D6538F">
      <w:pPr>
        <w:pStyle w:val="PlainText"/>
        <w:ind w:left="1134" w:hanging="567"/>
        <w:rPr>
          <w:rFonts w:cs="Arial"/>
          <w:szCs w:val="24"/>
        </w:rPr>
      </w:pPr>
      <w:sdt>
        <w:sdtPr>
          <w:rPr>
            <w:rFonts w:cs="Arial"/>
            <w:szCs w:val="24"/>
          </w:rPr>
          <w:id w:val="1319389459"/>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498F95C1" w14:textId="77777777" w:rsidR="00342FC6" w:rsidRPr="00342FC6" w:rsidRDefault="00000000" w:rsidP="00D6538F">
      <w:pPr>
        <w:pStyle w:val="PlainText"/>
        <w:ind w:left="1134" w:hanging="567"/>
        <w:rPr>
          <w:rFonts w:cs="Arial"/>
          <w:szCs w:val="24"/>
        </w:rPr>
      </w:pPr>
      <w:sdt>
        <w:sdtPr>
          <w:rPr>
            <w:rFonts w:cs="Arial"/>
            <w:szCs w:val="24"/>
          </w:rPr>
          <w:id w:val="-1302999937"/>
          <w14:checkbox>
            <w14:checked w14:val="1"/>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Agree</w:t>
      </w:r>
    </w:p>
    <w:p w14:paraId="2470EFA5" w14:textId="77777777" w:rsidR="00342FC6" w:rsidRPr="00342FC6" w:rsidRDefault="00000000" w:rsidP="00D6538F">
      <w:pPr>
        <w:pStyle w:val="PlainText"/>
        <w:ind w:left="1134" w:hanging="567"/>
        <w:rPr>
          <w:rFonts w:cs="Arial"/>
          <w:szCs w:val="24"/>
        </w:rPr>
      </w:pPr>
      <w:sdt>
        <w:sdtPr>
          <w:rPr>
            <w:rFonts w:cs="Arial"/>
            <w:szCs w:val="24"/>
          </w:rPr>
          <w:id w:val="-1841235011"/>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Neither agree nor disagree</w:t>
      </w:r>
    </w:p>
    <w:p w14:paraId="1BA66150" w14:textId="77777777" w:rsidR="00342FC6" w:rsidRPr="00342FC6" w:rsidRDefault="00000000" w:rsidP="00D6538F">
      <w:pPr>
        <w:pStyle w:val="PlainText"/>
        <w:ind w:left="1134" w:hanging="567"/>
        <w:rPr>
          <w:rFonts w:cs="Arial"/>
          <w:szCs w:val="24"/>
        </w:rPr>
      </w:pPr>
      <w:sdt>
        <w:sdtPr>
          <w:rPr>
            <w:rFonts w:cs="Arial"/>
            <w:szCs w:val="24"/>
          </w:rPr>
          <w:id w:val="-541587790"/>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Disagree</w:t>
      </w:r>
    </w:p>
    <w:p w14:paraId="58F001C5" w14:textId="77777777" w:rsidR="00342FC6" w:rsidRPr="00342FC6" w:rsidRDefault="00000000" w:rsidP="00D6538F">
      <w:pPr>
        <w:pStyle w:val="PlainText"/>
        <w:ind w:left="1134" w:hanging="567"/>
        <w:rPr>
          <w:rFonts w:cs="Arial"/>
          <w:szCs w:val="24"/>
        </w:rPr>
      </w:pPr>
      <w:sdt>
        <w:sdtPr>
          <w:rPr>
            <w:rFonts w:cs="Arial"/>
            <w:szCs w:val="24"/>
          </w:rPr>
          <w:id w:val="523911532"/>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0A80B5E4" w14:textId="77777777" w:rsidR="00342FC6" w:rsidRDefault="00342FC6" w:rsidP="00D6538F">
      <w:pPr>
        <w:ind w:left="1134" w:hanging="567"/>
        <w:rPr>
          <w:rFonts w:ascii="Arial" w:hAnsi="Arial" w:cs="Arial"/>
          <w:sz w:val="24"/>
          <w:szCs w:val="24"/>
        </w:rPr>
      </w:pPr>
    </w:p>
    <w:p w14:paraId="64B99D7A" w14:textId="77777777"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 xml:space="preserve">We feel that this section would be better placed after the sections on definition of public authority and the nature of duties (which is the order they appear in the Act). </w:t>
      </w:r>
    </w:p>
    <w:p w14:paraId="3FDB355A" w14:textId="77777777" w:rsidR="00342FC6" w:rsidRPr="00342FC6" w:rsidRDefault="00342FC6" w:rsidP="00D6538F">
      <w:pPr>
        <w:pStyle w:val="ListParagraph"/>
        <w:ind w:left="567"/>
        <w:rPr>
          <w:rFonts w:ascii="Arial" w:hAnsi="Arial" w:cs="Arial"/>
          <w:sz w:val="24"/>
          <w:szCs w:val="24"/>
        </w:rPr>
      </w:pPr>
    </w:p>
    <w:p w14:paraId="579A83FA" w14:textId="77777777"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 xml:space="preserve">It needs to be clear that the compatibility duty applies both to acts and to omissions or failures to act (s6(1). </w:t>
      </w:r>
    </w:p>
    <w:p w14:paraId="5DC5F632" w14:textId="77777777" w:rsidR="00342FC6" w:rsidRPr="00342FC6" w:rsidRDefault="00342FC6" w:rsidP="00D6538F">
      <w:pPr>
        <w:pStyle w:val="ListParagraph"/>
        <w:ind w:left="567"/>
        <w:rPr>
          <w:rFonts w:ascii="Arial" w:hAnsi="Arial" w:cs="Arial"/>
          <w:sz w:val="24"/>
          <w:szCs w:val="24"/>
        </w:rPr>
      </w:pPr>
    </w:p>
    <w:p w14:paraId="0E82B6FB" w14:textId="77777777"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 xml:space="preserve">In terms of SPSO’s complaints process, it must be clear that there is no requirement for a child to ‘exhaust’ this route before accessing the courts. In some cases, it would not be in the child’s interest to first take a complaint through the sometimes length complaints process. </w:t>
      </w:r>
    </w:p>
    <w:p w14:paraId="47B2745B" w14:textId="77777777" w:rsidR="00342FC6" w:rsidRPr="00342FC6" w:rsidRDefault="00342FC6" w:rsidP="00D6538F">
      <w:pPr>
        <w:pStyle w:val="ListParagraph"/>
        <w:ind w:left="567"/>
        <w:rPr>
          <w:rFonts w:ascii="Arial" w:hAnsi="Arial" w:cs="Arial"/>
          <w:sz w:val="24"/>
          <w:szCs w:val="24"/>
        </w:rPr>
      </w:pPr>
    </w:p>
    <w:p w14:paraId="769EA441" w14:textId="3C26B61C" w:rsidR="00342FC6" w:rsidRDefault="00342FC6" w:rsidP="00D6538F">
      <w:pPr>
        <w:pStyle w:val="ListParagraph"/>
        <w:ind w:left="567"/>
        <w:rPr>
          <w:rFonts w:ascii="Arial" w:hAnsi="Arial" w:cs="Arial"/>
          <w:sz w:val="24"/>
          <w:szCs w:val="24"/>
        </w:rPr>
      </w:pPr>
      <w:r w:rsidRPr="00342FC6">
        <w:rPr>
          <w:rFonts w:ascii="Arial" w:hAnsi="Arial" w:cs="Arial"/>
          <w:sz w:val="24"/>
          <w:szCs w:val="24"/>
        </w:rPr>
        <w:t xml:space="preserve">The guidance makes reference to powers our own office and SHRC have to raise or intervene in legal </w:t>
      </w:r>
      <w:proofErr w:type="gramStart"/>
      <w:r w:rsidRPr="00342FC6">
        <w:rPr>
          <w:rFonts w:ascii="Arial" w:hAnsi="Arial" w:cs="Arial"/>
          <w:sz w:val="24"/>
          <w:szCs w:val="24"/>
        </w:rPr>
        <w:t>proceedings, but</w:t>
      </w:r>
      <w:proofErr w:type="gramEnd"/>
      <w:r w:rsidRPr="00342FC6">
        <w:rPr>
          <w:rFonts w:ascii="Arial" w:hAnsi="Arial" w:cs="Arial"/>
          <w:sz w:val="24"/>
          <w:szCs w:val="24"/>
        </w:rPr>
        <w:t xml:space="preserve"> should also note that it enables others with ‘sufficient interest’, including third sector organisations, to raise proceedings on behalf of children. </w:t>
      </w:r>
    </w:p>
    <w:p w14:paraId="1053AC11" w14:textId="77777777" w:rsidR="00D6538F" w:rsidRPr="00342FC6" w:rsidRDefault="00D6538F" w:rsidP="00D6538F">
      <w:pPr>
        <w:pStyle w:val="ListParagraph"/>
        <w:ind w:left="567"/>
        <w:rPr>
          <w:rFonts w:ascii="Arial" w:hAnsi="Arial" w:cs="Arial"/>
          <w:sz w:val="24"/>
          <w:szCs w:val="24"/>
        </w:rPr>
      </w:pPr>
    </w:p>
    <w:p w14:paraId="767795C5" w14:textId="3F103C50"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We support other comments on this section made by Together Scotland in their response.</w:t>
      </w:r>
    </w:p>
    <w:p w14:paraId="7CD6046C" w14:textId="77777777" w:rsidR="00342FC6" w:rsidRPr="00342FC6" w:rsidRDefault="00342FC6" w:rsidP="00D6538F">
      <w:pPr>
        <w:pStyle w:val="PlainText"/>
        <w:ind w:left="567" w:hanging="567"/>
        <w:rPr>
          <w:rFonts w:cs="Arial"/>
          <w:szCs w:val="24"/>
        </w:rPr>
      </w:pPr>
    </w:p>
    <w:p w14:paraId="3974A0F7" w14:textId="20B05218" w:rsidR="00342FC6" w:rsidRPr="00342FC6" w:rsidRDefault="00D6538F" w:rsidP="00D6538F">
      <w:pPr>
        <w:pStyle w:val="PlainText"/>
        <w:jc w:val="both"/>
        <w:rPr>
          <w:rFonts w:cs="Arial"/>
          <w:szCs w:val="24"/>
        </w:rPr>
      </w:pPr>
      <w:r>
        <w:rPr>
          <w:rFonts w:cs="Arial"/>
          <w:szCs w:val="24"/>
        </w:rPr>
        <w:lastRenderedPageBreak/>
        <w:t>5.</w:t>
      </w:r>
      <w:r>
        <w:rPr>
          <w:rFonts w:cs="Arial"/>
          <w:szCs w:val="24"/>
        </w:rPr>
        <w:tab/>
      </w:r>
      <w:r w:rsidR="00342FC6" w:rsidRPr="00342FC6">
        <w:rPr>
          <w:rFonts w:cs="Arial"/>
          <w:szCs w:val="24"/>
        </w:rPr>
        <w:t>Section 4.3.2 ‘</w:t>
      </w:r>
      <w:r w:rsidR="00342FC6" w:rsidRPr="00342FC6">
        <w:rPr>
          <w:rFonts w:cs="Arial"/>
          <w:b/>
          <w:bCs/>
          <w:szCs w:val="24"/>
        </w:rPr>
        <w:t>Definition of a public authority</w:t>
      </w:r>
      <w:r w:rsidR="00342FC6" w:rsidRPr="00342FC6">
        <w:rPr>
          <w:rFonts w:cs="Arial"/>
          <w:szCs w:val="24"/>
        </w:rPr>
        <w:t>’ is clear.</w:t>
      </w:r>
    </w:p>
    <w:p w14:paraId="4A4FF5C7" w14:textId="77777777" w:rsidR="00342FC6" w:rsidRPr="00342FC6" w:rsidRDefault="00342FC6" w:rsidP="00D6538F">
      <w:pPr>
        <w:pStyle w:val="PlainText"/>
        <w:ind w:left="567" w:hanging="567"/>
        <w:rPr>
          <w:rFonts w:cs="Arial"/>
          <w:szCs w:val="24"/>
        </w:rPr>
      </w:pPr>
    </w:p>
    <w:p w14:paraId="7894A928" w14:textId="77777777" w:rsidR="00342FC6" w:rsidRPr="00342FC6" w:rsidRDefault="00000000" w:rsidP="00D6538F">
      <w:pPr>
        <w:pStyle w:val="PlainText"/>
        <w:ind w:left="1134" w:hanging="567"/>
        <w:rPr>
          <w:rFonts w:cs="Arial"/>
          <w:szCs w:val="24"/>
        </w:rPr>
      </w:pPr>
      <w:sdt>
        <w:sdtPr>
          <w:rPr>
            <w:rFonts w:cs="Arial"/>
            <w:szCs w:val="24"/>
          </w:rPr>
          <w:id w:val="882824568"/>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7A2A69E0" w14:textId="77777777" w:rsidR="00342FC6" w:rsidRPr="00342FC6" w:rsidRDefault="00000000" w:rsidP="00D6538F">
      <w:pPr>
        <w:pStyle w:val="PlainText"/>
        <w:ind w:left="1134" w:hanging="567"/>
        <w:rPr>
          <w:rFonts w:cs="Arial"/>
          <w:szCs w:val="24"/>
        </w:rPr>
      </w:pPr>
      <w:sdt>
        <w:sdtPr>
          <w:rPr>
            <w:rFonts w:cs="Arial"/>
            <w:szCs w:val="24"/>
          </w:rPr>
          <w:id w:val="-808243033"/>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Agree</w:t>
      </w:r>
    </w:p>
    <w:p w14:paraId="482CAA70" w14:textId="77777777" w:rsidR="00342FC6" w:rsidRPr="00342FC6" w:rsidRDefault="00000000" w:rsidP="00D6538F">
      <w:pPr>
        <w:pStyle w:val="PlainText"/>
        <w:ind w:left="1134" w:hanging="567"/>
        <w:rPr>
          <w:rFonts w:cs="Arial"/>
          <w:szCs w:val="24"/>
        </w:rPr>
      </w:pPr>
      <w:sdt>
        <w:sdtPr>
          <w:rPr>
            <w:rFonts w:cs="Arial"/>
            <w:szCs w:val="24"/>
          </w:rPr>
          <w:id w:val="-1212964016"/>
          <w14:checkbox>
            <w14:checked w14:val="1"/>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Neither agree nor disagree</w:t>
      </w:r>
    </w:p>
    <w:p w14:paraId="74937276" w14:textId="77777777" w:rsidR="00342FC6" w:rsidRPr="00342FC6" w:rsidRDefault="00000000" w:rsidP="00D6538F">
      <w:pPr>
        <w:pStyle w:val="PlainText"/>
        <w:ind w:left="1134" w:hanging="567"/>
        <w:rPr>
          <w:rFonts w:cs="Arial"/>
          <w:szCs w:val="24"/>
        </w:rPr>
      </w:pPr>
      <w:sdt>
        <w:sdtPr>
          <w:rPr>
            <w:rFonts w:cs="Arial"/>
            <w:szCs w:val="24"/>
          </w:rPr>
          <w:id w:val="-1878083550"/>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Disagree</w:t>
      </w:r>
    </w:p>
    <w:p w14:paraId="579B08A9" w14:textId="77777777" w:rsidR="00342FC6" w:rsidRPr="00342FC6" w:rsidRDefault="00000000" w:rsidP="00D6538F">
      <w:pPr>
        <w:pStyle w:val="PlainText"/>
        <w:ind w:left="1134" w:hanging="567"/>
        <w:rPr>
          <w:rFonts w:cs="Arial"/>
          <w:szCs w:val="24"/>
        </w:rPr>
      </w:pPr>
      <w:sdt>
        <w:sdtPr>
          <w:rPr>
            <w:rFonts w:cs="Arial"/>
            <w:szCs w:val="24"/>
          </w:rPr>
          <w:id w:val="1255781678"/>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71A81588" w14:textId="77777777" w:rsidR="00342FC6" w:rsidRDefault="00342FC6" w:rsidP="00D6538F">
      <w:pPr>
        <w:pStyle w:val="ListParagraph"/>
        <w:ind w:left="567" w:hanging="567"/>
        <w:rPr>
          <w:rFonts w:ascii="Arial" w:hAnsi="Arial" w:cs="Arial"/>
          <w:sz w:val="24"/>
          <w:szCs w:val="24"/>
        </w:rPr>
      </w:pPr>
    </w:p>
    <w:p w14:paraId="34E5C45E" w14:textId="77777777"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 xml:space="preserve">Our view is that that this section is overly complex, although we note some of this complexity is unavoidable given the changes that were required to be made to the Act. The entirety of section 4.3 would benefit from editing to increase clarity, reduce </w:t>
      </w:r>
      <w:proofErr w:type="gramStart"/>
      <w:r w:rsidRPr="00342FC6">
        <w:rPr>
          <w:rFonts w:ascii="Arial" w:hAnsi="Arial" w:cs="Arial"/>
          <w:sz w:val="24"/>
          <w:szCs w:val="24"/>
        </w:rPr>
        <w:t>repetition</w:t>
      </w:r>
      <w:proofErr w:type="gramEnd"/>
      <w:r w:rsidRPr="00342FC6">
        <w:rPr>
          <w:rFonts w:ascii="Arial" w:hAnsi="Arial" w:cs="Arial"/>
          <w:sz w:val="24"/>
          <w:szCs w:val="24"/>
        </w:rPr>
        <w:t xml:space="preserve"> and ensure coherence. We feel that the definition of public authority could be explained in a way that is clearer, particularly for third-sector organisations which undertake a mix of public and non-public functions. </w:t>
      </w:r>
    </w:p>
    <w:p w14:paraId="6DAB1D9E" w14:textId="77777777" w:rsidR="00342FC6" w:rsidRPr="00342FC6" w:rsidRDefault="00342FC6" w:rsidP="00D6538F">
      <w:pPr>
        <w:pStyle w:val="ListParagraph"/>
        <w:ind w:left="567"/>
        <w:rPr>
          <w:rFonts w:ascii="Arial" w:hAnsi="Arial" w:cs="Arial"/>
          <w:sz w:val="24"/>
          <w:szCs w:val="24"/>
        </w:rPr>
      </w:pPr>
    </w:p>
    <w:p w14:paraId="589C1D93" w14:textId="77777777"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 xml:space="preserve">The differences between the definition in this Act and in the Human Rights Act 1998 (HRA) needs to be clearer. Whilst the HRA definition was the starting point during the development of the legislation, it is not appropriate to use them as a starting point to </w:t>
      </w:r>
      <w:proofErr w:type="gramStart"/>
      <w:r w:rsidRPr="00342FC6">
        <w:rPr>
          <w:rFonts w:ascii="Arial" w:hAnsi="Arial" w:cs="Arial"/>
          <w:sz w:val="24"/>
          <w:szCs w:val="24"/>
        </w:rPr>
        <w:t>understanding</w:t>
      </w:r>
      <w:proofErr w:type="gramEnd"/>
      <w:r w:rsidRPr="00342FC6">
        <w:rPr>
          <w:rFonts w:ascii="Arial" w:hAnsi="Arial" w:cs="Arial"/>
          <w:sz w:val="24"/>
          <w:szCs w:val="24"/>
        </w:rPr>
        <w:t xml:space="preserve"> the definition used by this Act. The differences need to be much clearer. We would also suggest referring to the ECHR using those initials, rather than as “the Convention”, to avoid confusion with the UNCRC. </w:t>
      </w:r>
    </w:p>
    <w:p w14:paraId="78276EE2" w14:textId="77777777" w:rsidR="00342FC6" w:rsidRPr="00342FC6" w:rsidRDefault="00342FC6" w:rsidP="00D6538F">
      <w:pPr>
        <w:pStyle w:val="ListParagraph"/>
        <w:ind w:left="567"/>
        <w:rPr>
          <w:rFonts w:ascii="Arial" w:hAnsi="Arial" w:cs="Arial"/>
          <w:sz w:val="24"/>
          <w:szCs w:val="24"/>
        </w:rPr>
      </w:pPr>
    </w:p>
    <w:p w14:paraId="1BD5D62E" w14:textId="77777777"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 xml:space="preserve">Our recommendation is that the Scottish Government undertake further consultation with third sector organisations regarding this section, to ensure that it meets their needs, and that specific examples are added to this section to improve clarity. </w:t>
      </w:r>
    </w:p>
    <w:p w14:paraId="6C1F2E4F" w14:textId="7A132662" w:rsidR="00342FC6" w:rsidRPr="00342FC6" w:rsidRDefault="00D6538F" w:rsidP="00D6538F">
      <w:pPr>
        <w:pStyle w:val="PlainText"/>
        <w:jc w:val="both"/>
        <w:rPr>
          <w:rFonts w:cs="Arial"/>
          <w:szCs w:val="24"/>
        </w:rPr>
      </w:pPr>
      <w:r>
        <w:rPr>
          <w:rFonts w:cs="Arial"/>
          <w:szCs w:val="24"/>
        </w:rPr>
        <w:t>6.</w:t>
      </w:r>
      <w:r>
        <w:rPr>
          <w:rFonts w:cs="Arial"/>
          <w:szCs w:val="24"/>
        </w:rPr>
        <w:tab/>
      </w:r>
      <w:r w:rsidR="00342FC6" w:rsidRPr="00342FC6">
        <w:rPr>
          <w:rFonts w:cs="Arial"/>
          <w:szCs w:val="24"/>
        </w:rPr>
        <w:t>Section 4.3.1 ‘</w:t>
      </w:r>
      <w:r w:rsidR="00342FC6" w:rsidRPr="00342FC6">
        <w:rPr>
          <w:rFonts w:cs="Arial"/>
          <w:b/>
          <w:bCs/>
          <w:szCs w:val="24"/>
        </w:rPr>
        <w:t>Definition of functions of a public nature’</w:t>
      </w:r>
      <w:r w:rsidR="00342FC6" w:rsidRPr="00342FC6">
        <w:rPr>
          <w:rFonts w:cs="Arial"/>
          <w:szCs w:val="24"/>
        </w:rPr>
        <w:t xml:space="preserve"> is clear.</w:t>
      </w:r>
    </w:p>
    <w:p w14:paraId="598DA3BD" w14:textId="77777777" w:rsidR="00342FC6" w:rsidRPr="00342FC6" w:rsidRDefault="00342FC6" w:rsidP="00D6538F">
      <w:pPr>
        <w:pStyle w:val="PlainText"/>
        <w:ind w:left="567" w:hanging="567"/>
        <w:rPr>
          <w:rFonts w:cs="Arial"/>
          <w:szCs w:val="24"/>
        </w:rPr>
      </w:pPr>
    </w:p>
    <w:p w14:paraId="29CF5E55" w14:textId="77777777" w:rsidR="00342FC6" w:rsidRPr="00342FC6" w:rsidRDefault="00000000" w:rsidP="00D6538F">
      <w:pPr>
        <w:pStyle w:val="PlainText"/>
        <w:ind w:left="1134" w:hanging="567"/>
        <w:rPr>
          <w:rFonts w:cs="Arial"/>
          <w:szCs w:val="24"/>
        </w:rPr>
      </w:pPr>
      <w:sdt>
        <w:sdtPr>
          <w:rPr>
            <w:rFonts w:cs="Arial"/>
            <w:szCs w:val="24"/>
          </w:rPr>
          <w:id w:val="-1335985062"/>
          <w14:checkbox>
            <w14:checked w14:val="0"/>
            <w14:checkedState w14:val="2612" w14:font="MS Gothic"/>
            <w14:uncheckedState w14:val="2610" w14:font="MS Gothic"/>
          </w14:checkbox>
        </w:sdtPr>
        <w:sdtContent>
          <w:r w:rsidR="00342FC6" w:rsidRPr="00342FC6">
            <w:rPr>
              <w:rFonts w:ascii="Segoe UI Symbol" w:eastAsia="MS Gothic"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1362B71A" w14:textId="77777777" w:rsidR="00342FC6" w:rsidRPr="00342FC6" w:rsidRDefault="00000000" w:rsidP="00D6538F">
      <w:pPr>
        <w:pStyle w:val="PlainText"/>
        <w:ind w:left="1134" w:hanging="567"/>
        <w:rPr>
          <w:rFonts w:cs="Arial"/>
          <w:szCs w:val="24"/>
        </w:rPr>
      </w:pPr>
      <w:sdt>
        <w:sdtPr>
          <w:rPr>
            <w:rFonts w:cs="Arial"/>
            <w:szCs w:val="24"/>
          </w:rPr>
          <w:id w:val="-765917471"/>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Agree</w:t>
      </w:r>
    </w:p>
    <w:p w14:paraId="4D171A37" w14:textId="77777777" w:rsidR="00342FC6" w:rsidRPr="00342FC6" w:rsidRDefault="00000000" w:rsidP="00D6538F">
      <w:pPr>
        <w:pStyle w:val="PlainText"/>
        <w:ind w:left="1134" w:hanging="567"/>
        <w:rPr>
          <w:rFonts w:cs="Arial"/>
          <w:szCs w:val="24"/>
        </w:rPr>
      </w:pPr>
      <w:sdt>
        <w:sdtPr>
          <w:rPr>
            <w:rFonts w:cs="Arial"/>
            <w:szCs w:val="24"/>
          </w:rPr>
          <w:id w:val="589056422"/>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Neither agree nor disagree</w:t>
      </w:r>
    </w:p>
    <w:p w14:paraId="0A558B8C" w14:textId="023CA88F" w:rsidR="00342FC6" w:rsidRPr="00342FC6" w:rsidRDefault="00000000" w:rsidP="00D6538F">
      <w:pPr>
        <w:pStyle w:val="PlainText"/>
        <w:ind w:left="1134" w:hanging="567"/>
        <w:rPr>
          <w:rFonts w:cs="Arial"/>
          <w:szCs w:val="24"/>
        </w:rPr>
      </w:pPr>
      <w:sdt>
        <w:sdtPr>
          <w:rPr>
            <w:rFonts w:cs="Arial"/>
            <w:szCs w:val="24"/>
          </w:rPr>
          <w:id w:val="-1371137378"/>
          <w14:checkbox>
            <w14:checked w14:val="1"/>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Disagree</w:t>
      </w:r>
    </w:p>
    <w:p w14:paraId="0ED72BFD" w14:textId="77777777" w:rsidR="00342FC6" w:rsidRDefault="00000000" w:rsidP="00D6538F">
      <w:pPr>
        <w:pStyle w:val="PlainText"/>
        <w:ind w:left="1134" w:hanging="567"/>
        <w:rPr>
          <w:rFonts w:cs="Arial"/>
          <w:szCs w:val="24"/>
        </w:rPr>
      </w:pPr>
      <w:sdt>
        <w:sdtPr>
          <w:rPr>
            <w:rFonts w:cs="Arial"/>
            <w:szCs w:val="24"/>
          </w:rPr>
          <w:id w:val="1569539821"/>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7DFBE95E" w14:textId="77777777" w:rsidR="00D6538F" w:rsidRPr="00342FC6" w:rsidRDefault="00D6538F" w:rsidP="00D6538F">
      <w:pPr>
        <w:pStyle w:val="PlainText"/>
        <w:ind w:left="1134" w:hanging="567"/>
        <w:rPr>
          <w:rFonts w:cs="Arial"/>
          <w:szCs w:val="24"/>
        </w:rPr>
      </w:pPr>
    </w:p>
    <w:p w14:paraId="696A2843" w14:textId="77777777" w:rsidR="00342FC6" w:rsidRPr="00342FC6" w:rsidRDefault="00342FC6" w:rsidP="00D6538F">
      <w:pPr>
        <w:pStyle w:val="ListParagraph"/>
        <w:ind w:left="567"/>
        <w:rPr>
          <w:rFonts w:ascii="Arial" w:hAnsi="Arial" w:cs="Arial"/>
          <w:sz w:val="24"/>
          <w:szCs w:val="24"/>
        </w:rPr>
      </w:pPr>
      <w:r w:rsidRPr="00342FC6">
        <w:rPr>
          <w:rFonts w:ascii="Arial" w:hAnsi="Arial" w:cs="Arial"/>
          <w:sz w:val="24"/>
          <w:szCs w:val="24"/>
        </w:rPr>
        <w:t xml:space="preserve">Insufficient attention is given to differentiating between the HRA definition of a public function and the definition used in this Act. We have concerns about the way this section has been drafted and recommend further work, particularly with third sector organisations, to ensure it meets their needs as well as those of statutory authorities. </w:t>
      </w:r>
      <w:proofErr w:type="gramStart"/>
      <w:r w:rsidRPr="00342FC6">
        <w:rPr>
          <w:rFonts w:ascii="Arial" w:hAnsi="Arial" w:cs="Arial"/>
          <w:sz w:val="24"/>
          <w:szCs w:val="24"/>
        </w:rPr>
        <w:t>In particular, it</w:t>
      </w:r>
      <w:proofErr w:type="gramEnd"/>
      <w:r w:rsidRPr="00342FC6">
        <w:rPr>
          <w:rFonts w:ascii="Arial" w:hAnsi="Arial" w:cs="Arial"/>
          <w:sz w:val="24"/>
          <w:szCs w:val="24"/>
        </w:rPr>
        <w:t xml:space="preserve"> is important to clarify the situation with regard to private or third sector organisations providing non-public funded services. </w:t>
      </w:r>
    </w:p>
    <w:p w14:paraId="3F40DF4B" w14:textId="77777777" w:rsidR="00342FC6" w:rsidRPr="00342FC6" w:rsidRDefault="00342FC6" w:rsidP="00D6538F">
      <w:pPr>
        <w:pStyle w:val="PlainText"/>
        <w:ind w:left="567" w:hanging="567"/>
        <w:rPr>
          <w:rFonts w:cs="Arial"/>
          <w:szCs w:val="24"/>
        </w:rPr>
      </w:pPr>
    </w:p>
    <w:p w14:paraId="2170EFED" w14:textId="0F7F9954" w:rsidR="00342FC6" w:rsidRPr="00D6538F" w:rsidRDefault="00D6538F" w:rsidP="00D6538F">
      <w:pPr>
        <w:tabs>
          <w:tab w:val="left" w:pos="720"/>
          <w:tab w:val="left" w:pos="1440"/>
          <w:tab w:val="left" w:pos="2160"/>
          <w:tab w:val="left" w:pos="2880"/>
          <w:tab w:val="left" w:pos="4680"/>
          <w:tab w:val="left" w:pos="5400"/>
          <w:tab w:val="right" w:pos="9000"/>
        </w:tabs>
        <w:spacing w:after="0" w:line="240" w:lineRule="atLeast"/>
        <w:ind w:left="720" w:hanging="720"/>
        <w:jc w:val="both"/>
        <w:rPr>
          <w:rFonts w:ascii="Arial" w:hAnsi="Arial" w:cs="Arial"/>
          <w:color w:val="000000"/>
          <w:sz w:val="24"/>
          <w:szCs w:val="24"/>
        </w:rPr>
      </w:pPr>
      <w:r>
        <w:rPr>
          <w:rFonts w:ascii="Arial" w:hAnsi="Arial" w:cs="Arial"/>
          <w:color w:val="000000"/>
          <w:sz w:val="24"/>
          <w:szCs w:val="24"/>
        </w:rPr>
        <w:t>7.</w:t>
      </w:r>
      <w:r>
        <w:rPr>
          <w:rFonts w:ascii="Arial" w:hAnsi="Arial" w:cs="Arial"/>
          <w:color w:val="000000"/>
          <w:sz w:val="24"/>
          <w:szCs w:val="24"/>
        </w:rPr>
        <w:tab/>
      </w:r>
      <w:r w:rsidR="00342FC6" w:rsidRPr="00D6538F">
        <w:rPr>
          <w:rFonts w:ascii="Arial" w:hAnsi="Arial" w:cs="Arial"/>
          <w:color w:val="000000"/>
          <w:sz w:val="24"/>
          <w:szCs w:val="24"/>
        </w:rPr>
        <w:t>Section 4.4, ‘</w:t>
      </w:r>
      <w:r w:rsidR="00342FC6" w:rsidRPr="00D6538F">
        <w:rPr>
          <w:rFonts w:ascii="Arial" w:hAnsi="Arial" w:cs="Arial"/>
          <w:b/>
          <w:bCs/>
          <w:color w:val="000000"/>
          <w:sz w:val="24"/>
          <w:szCs w:val="24"/>
        </w:rPr>
        <w:t>Explanation of the duties on public authorities in Part 2, section 6’</w:t>
      </w:r>
      <w:r w:rsidR="00342FC6" w:rsidRPr="00D6538F">
        <w:rPr>
          <w:rFonts w:ascii="Arial" w:hAnsi="Arial" w:cs="Arial"/>
          <w:color w:val="000000"/>
          <w:sz w:val="24"/>
          <w:szCs w:val="24"/>
        </w:rPr>
        <w:t xml:space="preserve"> clearly explains the nature of the section 6 duty on public authorities, </w:t>
      </w:r>
      <w:r w:rsidR="00342FC6" w:rsidRPr="00D6538F">
        <w:rPr>
          <w:rFonts w:ascii="Arial" w:hAnsi="Arial" w:cs="Arial"/>
          <w:color w:val="000000"/>
          <w:sz w:val="24"/>
          <w:szCs w:val="24"/>
        </w:rPr>
        <w:lastRenderedPageBreak/>
        <w:t>including clearly articulating that the section 6 duty applies only when a public authority is carrying out devolved functions conferred under Acts of the Scottish Parliament or common law powers.</w:t>
      </w:r>
      <w:r w:rsidR="00342FC6" w:rsidRPr="00D6538F">
        <w:rPr>
          <w:rFonts w:ascii="Arial" w:hAnsi="Arial" w:cs="Arial"/>
          <w:b/>
          <w:bCs/>
          <w:color w:val="000000"/>
          <w:sz w:val="24"/>
          <w:szCs w:val="24"/>
        </w:rPr>
        <w:t> </w:t>
      </w:r>
    </w:p>
    <w:p w14:paraId="04B110DF" w14:textId="77777777" w:rsidR="00342FC6" w:rsidRPr="00342FC6" w:rsidRDefault="00342FC6" w:rsidP="00D6538F">
      <w:pPr>
        <w:pStyle w:val="PlainText"/>
        <w:ind w:left="567" w:hanging="567"/>
        <w:rPr>
          <w:rFonts w:cs="Arial"/>
          <w:szCs w:val="24"/>
        </w:rPr>
      </w:pPr>
    </w:p>
    <w:p w14:paraId="17E0F037" w14:textId="77777777" w:rsidR="00342FC6" w:rsidRPr="00342FC6" w:rsidRDefault="00000000" w:rsidP="00D6538F">
      <w:pPr>
        <w:pStyle w:val="PlainText"/>
        <w:ind w:left="1287" w:hanging="567"/>
        <w:rPr>
          <w:rFonts w:cs="Arial"/>
          <w:szCs w:val="24"/>
        </w:rPr>
      </w:pPr>
      <w:sdt>
        <w:sdtPr>
          <w:rPr>
            <w:rFonts w:cs="Arial"/>
            <w:szCs w:val="24"/>
          </w:rPr>
          <w:id w:val="1390228530"/>
          <w14:checkbox>
            <w14:checked w14:val="0"/>
            <w14:checkedState w14:val="2612" w14:font="MS Gothic"/>
            <w14:uncheckedState w14:val="2610" w14:font="MS Gothic"/>
          </w14:checkbox>
        </w:sdtPr>
        <w:sdtContent>
          <w:r w:rsidR="00342FC6" w:rsidRPr="00342FC6">
            <w:rPr>
              <w:rFonts w:ascii="Segoe UI Symbol" w:eastAsia="MS Gothic"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2B6C201C" w14:textId="77777777" w:rsidR="00342FC6" w:rsidRPr="00342FC6" w:rsidRDefault="00000000" w:rsidP="00D6538F">
      <w:pPr>
        <w:pStyle w:val="PlainText"/>
        <w:ind w:left="1287" w:hanging="567"/>
        <w:rPr>
          <w:rFonts w:cs="Arial"/>
          <w:szCs w:val="24"/>
        </w:rPr>
      </w:pPr>
      <w:sdt>
        <w:sdtPr>
          <w:rPr>
            <w:rFonts w:cs="Arial"/>
            <w:szCs w:val="24"/>
          </w:rPr>
          <w:id w:val="-1155056259"/>
          <w14:checkbox>
            <w14:checked w14:val="1"/>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Agree</w:t>
      </w:r>
    </w:p>
    <w:p w14:paraId="6E189980" w14:textId="77777777" w:rsidR="00342FC6" w:rsidRPr="00342FC6" w:rsidRDefault="00000000" w:rsidP="00D6538F">
      <w:pPr>
        <w:pStyle w:val="PlainText"/>
        <w:ind w:left="1287" w:hanging="567"/>
        <w:rPr>
          <w:rFonts w:cs="Arial"/>
          <w:szCs w:val="24"/>
        </w:rPr>
      </w:pPr>
      <w:sdt>
        <w:sdtPr>
          <w:rPr>
            <w:rFonts w:cs="Arial"/>
            <w:szCs w:val="24"/>
          </w:rPr>
          <w:id w:val="1070472140"/>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Neither agree nor disagree</w:t>
      </w:r>
    </w:p>
    <w:p w14:paraId="40C5C0B5" w14:textId="77777777" w:rsidR="00342FC6" w:rsidRPr="00342FC6" w:rsidRDefault="00000000" w:rsidP="00D6538F">
      <w:pPr>
        <w:pStyle w:val="PlainText"/>
        <w:ind w:left="1287" w:hanging="567"/>
        <w:rPr>
          <w:rFonts w:cs="Arial"/>
          <w:szCs w:val="24"/>
        </w:rPr>
      </w:pPr>
      <w:sdt>
        <w:sdtPr>
          <w:rPr>
            <w:rFonts w:cs="Arial"/>
            <w:szCs w:val="24"/>
          </w:rPr>
          <w:id w:val="-1413700478"/>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Disagree</w:t>
      </w:r>
    </w:p>
    <w:p w14:paraId="7D7EA74F" w14:textId="77777777" w:rsidR="00342FC6" w:rsidRDefault="00000000" w:rsidP="00D6538F">
      <w:pPr>
        <w:pStyle w:val="PlainText"/>
        <w:ind w:left="1287" w:hanging="567"/>
        <w:rPr>
          <w:rFonts w:cs="Arial"/>
          <w:szCs w:val="24"/>
        </w:rPr>
      </w:pPr>
      <w:sdt>
        <w:sdtPr>
          <w:rPr>
            <w:rFonts w:cs="Arial"/>
            <w:szCs w:val="24"/>
          </w:rPr>
          <w:id w:val="1656566364"/>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1FE33DEE" w14:textId="77777777" w:rsidR="00342FC6" w:rsidRPr="00342FC6" w:rsidRDefault="00342FC6" w:rsidP="00D6538F">
      <w:pPr>
        <w:pStyle w:val="PlainText"/>
        <w:ind w:left="567" w:hanging="567"/>
        <w:rPr>
          <w:rFonts w:cs="Arial"/>
          <w:szCs w:val="24"/>
        </w:rPr>
      </w:pPr>
    </w:p>
    <w:p w14:paraId="795064B2" w14:textId="77777777" w:rsidR="00342FC6" w:rsidRPr="00342FC6" w:rsidRDefault="00342FC6" w:rsidP="00D6538F">
      <w:pPr>
        <w:pStyle w:val="ListParagraph"/>
        <w:rPr>
          <w:rFonts w:ascii="Arial" w:hAnsi="Arial" w:cs="Arial"/>
          <w:sz w:val="24"/>
          <w:szCs w:val="24"/>
        </w:rPr>
      </w:pPr>
      <w:r w:rsidRPr="00342FC6">
        <w:rPr>
          <w:rFonts w:ascii="Arial" w:hAnsi="Arial" w:cs="Arial"/>
          <w:sz w:val="24"/>
          <w:szCs w:val="24"/>
        </w:rPr>
        <w:t xml:space="preserve">We welcome the repeated commitment to a maximalist approach and the expectation that public authorities should act compatibly in all their functions. The UNCRC was ratified by the UK government over 30 years ago and public authorities are therefore under an existing duty, in international law, to act compatibly. Unfortunately, the final sentence in the section on Legislative Competence - 2(a) would seem to contradict this and should be amended. </w:t>
      </w:r>
    </w:p>
    <w:p w14:paraId="1C33EBF7" w14:textId="77777777" w:rsidR="00342FC6" w:rsidRPr="00342FC6" w:rsidRDefault="00342FC6" w:rsidP="00D6538F">
      <w:pPr>
        <w:pStyle w:val="ListParagraph"/>
        <w:rPr>
          <w:rFonts w:ascii="Arial" w:hAnsi="Arial" w:cs="Arial"/>
          <w:sz w:val="24"/>
          <w:szCs w:val="24"/>
        </w:rPr>
      </w:pPr>
    </w:p>
    <w:p w14:paraId="0EF01A68" w14:textId="77777777" w:rsidR="00342FC6" w:rsidRPr="00342FC6" w:rsidRDefault="00342FC6" w:rsidP="00D6538F">
      <w:pPr>
        <w:pStyle w:val="ListParagraph"/>
        <w:rPr>
          <w:rFonts w:ascii="Arial" w:hAnsi="Arial" w:cs="Arial"/>
          <w:sz w:val="24"/>
          <w:szCs w:val="24"/>
        </w:rPr>
      </w:pPr>
      <w:r w:rsidRPr="00342FC6">
        <w:rPr>
          <w:rFonts w:ascii="Arial" w:hAnsi="Arial" w:cs="Arial"/>
          <w:sz w:val="24"/>
          <w:szCs w:val="24"/>
        </w:rPr>
        <w:t xml:space="preserve">We note that the section Legislation – 2b is not entirely clear regarding Acts of the Scottish Parliament amending earlier Acts of the Scottish Parliament. These are in scope of the Act and this sentence should be amended to reflect this. </w:t>
      </w:r>
    </w:p>
    <w:p w14:paraId="7D5FF030" w14:textId="77777777" w:rsidR="00342FC6" w:rsidRPr="00342FC6" w:rsidRDefault="00342FC6" w:rsidP="00D6538F">
      <w:pPr>
        <w:pStyle w:val="PlainText"/>
        <w:ind w:left="567" w:hanging="567"/>
        <w:rPr>
          <w:rFonts w:cs="Arial"/>
          <w:szCs w:val="24"/>
        </w:rPr>
      </w:pPr>
    </w:p>
    <w:p w14:paraId="18E714F2" w14:textId="7E399948" w:rsidR="00342FC6" w:rsidRPr="00342FC6" w:rsidRDefault="009A47CF" w:rsidP="009A47CF">
      <w:pPr>
        <w:pStyle w:val="PlainText"/>
        <w:ind w:left="720" w:hanging="720"/>
        <w:rPr>
          <w:rFonts w:cs="Arial"/>
          <w:szCs w:val="24"/>
        </w:rPr>
      </w:pPr>
      <w:r>
        <w:rPr>
          <w:rFonts w:cs="Arial"/>
          <w:szCs w:val="24"/>
        </w:rPr>
        <w:t>8.</w:t>
      </w:r>
      <w:r>
        <w:rPr>
          <w:rFonts w:cs="Arial"/>
          <w:szCs w:val="24"/>
        </w:rPr>
        <w:tab/>
      </w:r>
      <w:r w:rsidR="00342FC6" w:rsidRPr="00342FC6">
        <w:rPr>
          <w:rFonts w:cs="Arial"/>
          <w:szCs w:val="24"/>
        </w:rPr>
        <w:t>Annexes A.1 – A.5, ‘</w:t>
      </w:r>
      <w:r w:rsidR="00342FC6" w:rsidRPr="00342FC6">
        <w:rPr>
          <w:rFonts w:cs="Arial"/>
          <w:b/>
          <w:bCs/>
          <w:szCs w:val="24"/>
        </w:rPr>
        <w:t>Clarification of conceptual aspects of the UNCRC</w:t>
      </w:r>
      <w:r w:rsidR="00342FC6" w:rsidRPr="00342FC6">
        <w:rPr>
          <w:rFonts w:cs="Arial"/>
          <w:szCs w:val="24"/>
        </w:rPr>
        <w:t xml:space="preserve">’ are clear. </w:t>
      </w:r>
    </w:p>
    <w:p w14:paraId="741B3F6F" w14:textId="77777777" w:rsidR="00342FC6" w:rsidRPr="00342FC6" w:rsidRDefault="00342FC6" w:rsidP="00D6538F">
      <w:pPr>
        <w:pStyle w:val="PlainText"/>
        <w:ind w:left="567" w:hanging="567"/>
        <w:rPr>
          <w:rFonts w:cs="Arial"/>
          <w:szCs w:val="24"/>
        </w:rPr>
      </w:pPr>
    </w:p>
    <w:p w14:paraId="545D7604" w14:textId="77777777" w:rsidR="00342FC6" w:rsidRPr="00342FC6" w:rsidRDefault="00000000" w:rsidP="009A47CF">
      <w:pPr>
        <w:pStyle w:val="PlainText"/>
        <w:ind w:left="1134" w:hanging="567"/>
        <w:rPr>
          <w:rFonts w:cs="Arial"/>
          <w:szCs w:val="24"/>
        </w:rPr>
      </w:pPr>
      <w:sdt>
        <w:sdtPr>
          <w:rPr>
            <w:rFonts w:cs="Arial"/>
            <w:szCs w:val="24"/>
          </w:rPr>
          <w:id w:val="-549693301"/>
          <w14:checkbox>
            <w14:checked w14:val="0"/>
            <w14:checkedState w14:val="2612" w14:font="MS Gothic"/>
            <w14:uncheckedState w14:val="2610" w14:font="MS Gothic"/>
          </w14:checkbox>
        </w:sdtPr>
        <w:sdtContent>
          <w:r w:rsidR="00342FC6" w:rsidRPr="00342FC6">
            <w:rPr>
              <w:rFonts w:ascii="Segoe UI Symbol" w:eastAsia="MS Gothic"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2085587D" w14:textId="77777777" w:rsidR="00342FC6" w:rsidRPr="00342FC6" w:rsidRDefault="00000000" w:rsidP="009A47CF">
      <w:pPr>
        <w:pStyle w:val="PlainText"/>
        <w:ind w:left="1134" w:hanging="567"/>
        <w:rPr>
          <w:rFonts w:cs="Arial"/>
          <w:szCs w:val="24"/>
        </w:rPr>
      </w:pPr>
      <w:sdt>
        <w:sdtPr>
          <w:rPr>
            <w:rFonts w:cs="Arial"/>
            <w:szCs w:val="24"/>
          </w:rPr>
          <w:id w:val="718862101"/>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Agree</w:t>
      </w:r>
    </w:p>
    <w:p w14:paraId="36A06F81" w14:textId="5189F6A1" w:rsidR="00342FC6" w:rsidRPr="00342FC6" w:rsidRDefault="00000000" w:rsidP="009A47CF">
      <w:pPr>
        <w:pStyle w:val="PlainText"/>
        <w:ind w:left="1134" w:hanging="567"/>
        <w:rPr>
          <w:rFonts w:cs="Arial"/>
          <w:szCs w:val="24"/>
        </w:rPr>
      </w:pPr>
      <w:sdt>
        <w:sdtPr>
          <w:rPr>
            <w:rFonts w:cs="Arial"/>
            <w:szCs w:val="24"/>
          </w:rPr>
          <w:id w:val="1239297636"/>
          <w14:checkbox>
            <w14:checked w14:val="1"/>
            <w14:checkedState w14:val="2612" w14:font="MS Gothic"/>
            <w14:uncheckedState w14:val="2610" w14:font="MS Gothic"/>
          </w14:checkbox>
        </w:sdtPr>
        <w:sdtContent>
          <w:r w:rsidR="00CA4131">
            <w:rPr>
              <w:rFonts w:ascii="MS Gothic" w:eastAsia="MS Gothic" w:hAnsi="MS Gothic" w:cs="Arial" w:hint="eastAsia"/>
              <w:szCs w:val="24"/>
            </w:rPr>
            <w:t>☒</w:t>
          </w:r>
        </w:sdtContent>
      </w:sdt>
      <w:r w:rsidR="00342FC6" w:rsidRPr="00342FC6">
        <w:rPr>
          <w:rFonts w:cs="Arial"/>
          <w:szCs w:val="24"/>
        </w:rPr>
        <w:t>Neither agree nor disagree</w:t>
      </w:r>
    </w:p>
    <w:p w14:paraId="43E27544" w14:textId="5D6DCE37" w:rsidR="00342FC6" w:rsidRPr="00342FC6" w:rsidRDefault="00000000" w:rsidP="009A47CF">
      <w:pPr>
        <w:pStyle w:val="PlainText"/>
        <w:ind w:left="1134" w:hanging="567"/>
        <w:rPr>
          <w:rFonts w:cs="Arial"/>
          <w:szCs w:val="24"/>
        </w:rPr>
      </w:pPr>
      <w:sdt>
        <w:sdtPr>
          <w:rPr>
            <w:rFonts w:cs="Arial"/>
            <w:szCs w:val="24"/>
          </w:rPr>
          <w:id w:val="327410007"/>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Disagree</w:t>
      </w:r>
    </w:p>
    <w:p w14:paraId="61B97D87" w14:textId="77777777" w:rsidR="00342FC6" w:rsidRPr="00342FC6" w:rsidRDefault="00000000" w:rsidP="009A47CF">
      <w:pPr>
        <w:pStyle w:val="PlainText"/>
        <w:ind w:left="1134" w:hanging="567"/>
        <w:rPr>
          <w:rFonts w:cs="Arial"/>
          <w:szCs w:val="24"/>
        </w:rPr>
      </w:pPr>
      <w:sdt>
        <w:sdtPr>
          <w:rPr>
            <w:rFonts w:cs="Arial"/>
            <w:szCs w:val="24"/>
          </w:rPr>
          <w:id w:val="533310962"/>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52CE6275" w14:textId="77777777" w:rsidR="00342FC6" w:rsidRPr="00342FC6" w:rsidRDefault="00342FC6" w:rsidP="00D6538F">
      <w:pPr>
        <w:pStyle w:val="PlainText"/>
        <w:ind w:left="567" w:hanging="567"/>
        <w:rPr>
          <w:rFonts w:cs="Arial"/>
          <w:szCs w:val="24"/>
        </w:rPr>
      </w:pPr>
    </w:p>
    <w:p w14:paraId="52A3F766" w14:textId="1A7F3794" w:rsidR="00342FC6" w:rsidRPr="00342FC6" w:rsidRDefault="007B13FA" w:rsidP="007B13FA">
      <w:pPr>
        <w:pStyle w:val="PlainText"/>
        <w:rPr>
          <w:rFonts w:cs="Arial"/>
          <w:szCs w:val="24"/>
        </w:rPr>
      </w:pPr>
      <w:r>
        <w:rPr>
          <w:rFonts w:cs="Arial"/>
          <w:szCs w:val="24"/>
        </w:rPr>
        <w:t>9.</w:t>
      </w:r>
      <w:r>
        <w:rPr>
          <w:rFonts w:cs="Arial"/>
          <w:szCs w:val="24"/>
        </w:rPr>
        <w:tab/>
      </w:r>
      <w:r w:rsidR="00342FC6" w:rsidRPr="00342FC6">
        <w:rPr>
          <w:rFonts w:cs="Arial"/>
          <w:szCs w:val="24"/>
        </w:rPr>
        <w:t>Annexes B.1 – B.4 ‘</w:t>
      </w:r>
      <w:r w:rsidR="00342FC6" w:rsidRPr="00342FC6">
        <w:rPr>
          <w:rFonts w:cs="Arial"/>
          <w:b/>
          <w:bCs/>
          <w:szCs w:val="24"/>
        </w:rPr>
        <w:t>Sources to guide interpretation</w:t>
      </w:r>
      <w:r w:rsidR="00342FC6" w:rsidRPr="00342FC6">
        <w:rPr>
          <w:rFonts w:cs="Arial"/>
          <w:szCs w:val="24"/>
        </w:rPr>
        <w:t>’</w:t>
      </w:r>
      <w:r w:rsidR="00342FC6" w:rsidRPr="00342FC6" w:rsidDel="00E45F86">
        <w:rPr>
          <w:rFonts w:cs="Arial"/>
          <w:szCs w:val="24"/>
        </w:rPr>
        <w:t xml:space="preserve"> </w:t>
      </w:r>
      <w:r w:rsidR="00342FC6" w:rsidRPr="00342FC6">
        <w:rPr>
          <w:rFonts w:cs="Arial"/>
          <w:szCs w:val="24"/>
        </w:rPr>
        <w:t xml:space="preserve">are useful. </w:t>
      </w:r>
    </w:p>
    <w:p w14:paraId="7756D62C" w14:textId="77777777" w:rsidR="00342FC6" w:rsidRPr="00342FC6" w:rsidRDefault="00342FC6" w:rsidP="00D6538F">
      <w:pPr>
        <w:pStyle w:val="PlainText"/>
        <w:ind w:left="567" w:hanging="567"/>
        <w:rPr>
          <w:rFonts w:cs="Arial"/>
          <w:szCs w:val="24"/>
        </w:rPr>
      </w:pPr>
    </w:p>
    <w:p w14:paraId="5963592F" w14:textId="77777777" w:rsidR="00342FC6" w:rsidRPr="00342FC6" w:rsidRDefault="00000000" w:rsidP="007B13FA">
      <w:pPr>
        <w:pStyle w:val="PlainText"/>
        <w:ind w:left="1134" w:hanging="567"/>
        <w:rPr>
          <w:rFonts w:cs="Arial"/>
          <w:szCs w:val="24"/>
        </w:rPr>
      </w:pPr>
      <w:sdt>
        <w:sdtPr>
          <w:rPr>
            <w:rFonts w:cs="Arial"/>
            <w:szCs w:val="24"/>
          </w:rPr>
          <w:id w:val="1150404763"/>
          <w14:checkbox>
            <w14:checked w14:val="0"/>
            <w14:checkedState w14:val="2612" w14:font="MS Gothic"/>
            <w14:uncheckedState w14:val="2610" w14:font="MS Gothic"/>
          </w14:checkbox>
        </w:sdtPr>
        <w:sdtContent>
          <w:r w:rsidR="00342FC6" w:rsidRPr="00342FC6">
            <w:rPr>
              <w:rFonts w:ascii="Segoe UI Symbol" w:eastAsia="MS Gothic"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53613C03" w14:textId="77777777" w:rsidR="00342FC6" w:rsidRPr="00342FC6" w:rsidRDefault="00000000" w:rsidP="007B13FA">
      <w:pPr>
        <w:pStyle w:val="PlainText"/>
        <w:ind w:left="1134" w:hanging="567"/>
        <w:rPr>
          <w:rFonts w:cs="Arial"/>
          <w:szCs w:val="24"/>
        </w:rPr>
      </w:pPr>
      <w:sdt>
        <w:sdtPr>
          <w:rPr>
            <w:rFonts w:cs="Arial"/>
            <w:szCs w:val="24"/>
          </w:rPr>
          <w:id w:val="1349366714"/>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Agree</w:t>
      </w:r>
    </w:p>
    <w:p w14:paraId="5448140F" w14:textId="77777777" w:rsidR="00342FC6" w:rsidRPr="00342FC6" w:rsidRDefault="00000000" w:rsidP="007B13FA">
      <w:pPr>
        <w:pStyle w:val="PlainText"/>
        <w:ind w:left="1134" w:hanging="567"/>
        <w:rPr>
          <w:rFonts w:cs="Arial"/>
          <w:szCs w:val="24"/>
        </w:rPr>
      </w:pPr>
      <w:sdt>
        <w:sdtPr>
          <w:rPr>
            <w:rFonts w:cs="Arial"/>
            <w:szCs w:val="24"/>
          </w:rPr>
          <w:id w:val="1363932147"/>
          <w14:checkbox>
            <w14:checked w14:val="1"/>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Neither agree nor disagree</w:t>
      </w:r>
    </w:p>
    <w:p w14:paraId="6C365C89" w14:textId="77777777" w:rsidR="00342FC6" w:rsidRPr="00342FC6" w:rsidRDefault="00000000" w:rsidP="007B13FA">
      <w:pPr>
        <w:pStyle w:val="PlainText"/>
        <w:ind w:left="1134" w:hanging="567"/>
        <w:rPr>
          <w:rFonts w:cs="Arial"/>
          <w:szCs w:val="24"/>
        </w:rPr>
      </w:pPr>
      <w:sdt>
        <w:sdtPr>
          <w:rPr>
            <w:rFonts w:cs="Arial"/>
            <w:szCs w:val="24"/>
          </w:rPr>
          <w:id w:val="205373626"/>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Disagree</w:t>
      </w:r>
    </w:p>
    <w:p w14:paraId="7C88F2D8" w14:textId="77777777" w:rsidR="00342FC6" w:rsidRPr="00342FC6" w:rsidRDefault="00000000" w:rsidP="007B13FA">
      <w:pPr>
        <w:pStyle w:val="PlainText"/>
        <w:ind w:left="1134" w:hanging="567"/>
        <w:rPr>
          <w:rFonts w:cs="Arial"/>
          <w:szCs w:val="24"/>
        </w:rPr>
      </w:pPr>
      <w:sdt>
        <w:sdtPr>
          <w:rPr>
            <w:rFonts w:cs="Arial"/>
            <w:szCs w:val="24"/>
          </w:rPr>
          <w:id w:val="103150466"/>
          <w14:checkbox>
            <w14:checked w14:val="0"/>
            <w14:checkedState w14:val="2612" w14:font="MS Gothic"/>
            <w14:uncheckedState w14:val="2610" w14:font="MS Gothic"/>
          </w14:checkbox>
        </w:sdtPr>
        <w:sdtContent>
          <w:r w:rsidR="00342FC6" w:rsidRPr="00342FC6">
            <w:rPr>
              <w:rFonts w:ascii="Segoe UI Symbol" w:eastAsia="MS Gothic"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2721BC18" w14:textId="77777777" w:rsidR="00342FC6" w:rsidRPr="00342FC6" w:rsidRDefault="00342FC6" w:rsidP="00D6538F">
      <w:pPr>
        <w:pStyle w:val="PlainText"/>
        <w:ind w:left="567" w:hanging="567"/>
        <w:rPr>
          <w:rFonts w:cs="Arial"/>
          <w:szCs w:val="24"/>
        </w:rPr>
      </w:pPr>
    </w:p>
    <w:p w14:paraId="5439B44B" w14:textId="5479BC2F" w:rsidR="00342FC6" w:rsidRPr="007B13FA" w:rsidRDefault="007B13FA" w:rsidP="007B13FA">
      <w:pPr>
        <w:spacing w:after="0" w:line="240" w:lineRule="auto"/>
        <w:ind w:left="720" w:hanging="720"/>
        <w:rPr>
          <w:rFonts w:ascii="Arial" w:hAnsi="Arial" w:cs="Arial"/>
          <w:b/>
          <w:bCs/>
          <w:sz w:val="24"/>
          <w:szCs w:val="24"/>
        </w:rPr>
      </w:pPr>
      <w:r>
        <w:rPr>
          <w:rFonts w:ascii="Arial" w:hAnsi="Arial" w:cs="Arial"/>
          <w:sz w:val="24"/>
          <w:szCs w:val="24"/>
        </w:rPr>
        <w:t>10.</w:t>
      </w:r>
      <w:r>
        <w:rPr>
          <w:rFonts w:ascii="Arial" w:hAnsi="Arial" w:cs="Arial"/>
          <w:sz w:val="24"/>
          <w:szCs w:val="24"/>
        </w:rPr>
        <w:tab/>
      </w:r>
      <w:r w:rsidR="00342FC6" w:rsidRPr="007B13FA">
        <w:rPr>
          <w:rFonts w:ascii="Arial" w:hAnsi="Arial" w:cs="Arial"/>
          <w:sz w:val="24"/>
          <w:szCs w:val="24"/>
        </w:rPr>
        <w:t>Annex C, ‘</w:t>
      </w:r>
      <w:r w:rsidR="00342FC6" w:rsidRPr="007B13FA">
        <w:rPr>
          <w:rFonts w:ascii="Arial" w:hAnsi="Arial" w:cs="Arial"/>
          <w:b/>
          <w:bCs/>
          <w:sz w:val="24"/>
          <w:szCs w:val="24"/>
        </w:rPr>
        <w:t>Framework for Reviewing Compatibility (s.6 duty)</w:t>
      </w:r>
      <w:r w:rsidR="00342FC6" w:rsidRPr="007B13FA">
        <w:rPr>
          <w:rFonts w:ascii="Arial" w:hAnsi="Arial" w:cs="Arial"/>
          <w:sz w:val="24"/>
          <w:szCs w:val="24"/>
        </w:rPr>
        <w:t>’ is presented in an accessible manner, e.g. the content, style, and length make this a user-friendly and practical resource.</w:t>
      </w:r>
    </w:p>
    <w:p w14:paraId="44C67757" w14:textId="77777777" w:rsidR="00342FC6" w:rsidRPr="0060784C" w:rsidRDefault="00342FC6" w:rsidP="00D6538F">
      <w:pPr>
        <w:pStyle w:val="PlainText"/>
        <w:ind w:left="567" w:hanging="567"/>
        <w:rPr>
          <w:rFonts w:cs="Arial"/>
          <w:szCs w:val="24"/>
        </w:rPr>
      </w:pPr>
    </w:p>
    <w:p w14:paraId="0CDD1322" w14:textId="77777777" w:rsidR="00342FC6" w:rsidRPr="00342FC6" w:rsidRDefault="00000000" w:rsidP="007B13FA">
      <w:pPr>
        <w:pStyle w:val="PlainText"/>
        <w:ind w:left="1287" w:hanging="567"/>
        <w:rPr>
          <w:rFonts w:cs="Arial"/>
          <w:szCs w:val="24"/>
        </w:rPr>
      </w:pPr>
      <w:sdt>
        <w:sdtPr>
          <w:rPr>
            <w:rFonts w:cs="Arial"/>
            <w:szCs w:val="24"/>
          </w:rPr>
          <w:id w:val="-1776546678"/>
          <w14:checkbox>
            <w14:checked w14:val="0"/>
            <w14:checkedState w14:val="2612" w14:font="MS Gothic"/>
            <w14:uncheckedState w14:val="2610" w14:font="MS Gothic"/>
          </w14:checkbox>
        </w:sdtPr>
        <w:sdtContent>
          <w:r w:rsidR="00342FC6" w:rsidRPr="00342FC6">
            <w:rPr>
              <w:rFonts w:ascii="Segoe UI Symbol" w:eastAsia="MS Gothic"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1833C09E" w14:textId="77777777" w:rsidR="00342FC6" w:rsidRPr="00342FC6" w:rsidRDefault="00000000" w:rsidP="007B13FA">
      <w:pPr>
        <w:pStyle w:val="PlainText"/>
        <w:ind w:left="1287" w:hanging="567"/>
        <w:rPr>
          <w:rFonts w:cs="Arial"/>
          <w:szCs w:val="24"/>
        </w:rPr>
      </w:pPr>
      <w:sdt>
        <w:sdtPr>
          <w:rPr>
            <w:rFonts w:cs="Arial"/>
            <w:szCs w:val="24"/>
          </w:rPr>
          <w:id w:val="1365559747"/>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Agree</w:t>
      </w:r>
    </w:p>
    <w:p w14:paraId="147128E5" w14:textId="77777777" w:rsidR="00342FC6" w:rsidRPr="00342FC6" w:rsidRDefault="00000000" w:rsidP="007B13FA">
      <w:pPr>
        <w:pStyle w:val="PlainText"/>
        <w:ind w:left="1287" w:hanging="567"/>
        <w:rPr>
          <w:rFonts w:cs="Arial"/>
          <w:szCs w:val="24"/>
        </w:rPr>
      </w:pPr>
      <w:sdt>
        <w:sdtPr>
          <w:rPr>
            <w:rFonts w:cs="Arial"/>
            <w:szCs w:val="24"/>
          </w:rPr>
          <w:id w:val="-1384707148"/>
          <w14:checkbox>
            <w14:checked w14:val="1"/>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Neither agree nor disagree</w:t>
      </w:r>
    </w:p>
    <w:p w14:paraId="543A9535" w14:textId="77777777" w:rsidR="00342FC6" w:rsidRPr="00342FC6" w:rsidRDefault="00000000" w:rsidP="007B13FA">
      <w:pPr>
        <w:pStyle w:val="PlainText"/>
        <w:ind w:left="1287" w:hanging="567"/>
        <w:rPr>
          <w:rFonts w:cs="Arial"/>
          <w:szCs w:val="24"/>
        </w:rPr>
      </w:pPr>
      <w:sdt>
        <w:sdtPr>
          <w:rPr>
            <w:rFonts w:cs="Arial"/>
            <w:szCs w:val="24"/>
          </w:rPr>
          <w:id w:val="1228738019"/>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Disagree</w:t>
      </w:r>
    </w:p>
    <w:p w14:paraId="667AFF0C" w14:textId="77777777" w:rsidR="00342FC6" w:rsidRPr="00342FC6" w:rsidRDefault="00000000" w:rsidP="007B13FA">
      <w:pPr>
        <w:pStyle w:val="PlainText"/>
        <w:ind w:left="1287" w:hanging="567"/>
        <w:rPr>
          <w:rFonts w:cs="Arial"/>
          <w:szCs w:val="24"/>
        </w:rPr>
      </w:pPr>
      <w:sdt>
        <w:sdtPr>
          <w:rPr>
            <w:rFonts w:cs="Arial"/>
            <w:szCs w:val="24"/>
          </w:rPr>
          <w:id w:val="427247678"/>
          <w14:checkbox>
            <w14:checked w14:val="0"/>
            <w14:checkedState w14:val="2612" w14:font="MS Gothic"/>
            <w14:uncheckedState w14:val="2610" w14:font="MS Gothic"/>
          </w14:checkbox>
        </w:sdtPr>
        <w:sdtContent>
          <w:r w:rsidR="00342FC6" w:rsidRPr="00342FC6">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179765AD" w14:textId="77777777" w:rsidR="00342FC6" w:rsidRDefault="00342FC6" w:rsidP="00D6538F">
      <w:pPr>
        <w:ind w:left="567" w:hanging="567"/>
        <w:rPr>
          <w:rFonts w:ascii="Arial" w:hAnsi="Arial" w:cs="Arial"/>
          <w:sz w:val="24"/>
          <w:szCs w:val="24"/>
        </w:rPr>
      </w:pPr>
    </w:p>
    <w:p w14:paraId="5CAF1B2F" w14:textId="77777777" w:rsidR="00342FC6" w:rsidRPr="00342FC6" w:rsidRDefault="00342FC6" w:rsidP="00D73DDF">
      <w:pPr>
        <w:pStyle w:val="ListParagraph"/>
        <w:rPr>
          <w:rFonts w:ascii="Arial" w:hAnsi="Arial" w:cs="Arial"/>
          <w:sz w:val="24"/>
          <w:szCs w:val="24"/>
        </w:rPr>
      </w:pPr>
      <w:r w:rsidRPr="00342FC6">
        <w:rPr>
          <w:rFonts w:ascii="Arial" w:hAnsi="Arial" w:cs="Arial"/>
          <w:sz w:val="24"/>
          <w:szCs w:val="24"/>
        </w:rPr>
        <w:t>This narrative section covers Annexes A, B and C</w:t>
      </w:r>
    </w:p>
    <w:p w14:paraId="44B2CFB6" w14:textId="77777777" w:rsidR="00342FC6" w:rsidRPr="00342FC6" w:rsidRDefault="00342FC6" w:rsidP="00D73DDF">
      <w:pPr>
        <w:pStyle w:val="ListParagraph"/>
        <w:rPr>
          <w:rFonts w:ascii="Arial" w:hAnsi="Arial" w:cs="Arial"/>
          <w:sz w:val="24"/>
          <w:szCs w:val="24"/>
        </w:rPr>
      </w:pPr>
    </w:p>
    <w:p w14:paraId="1AD759B4" w14:textId="77777777" w:rsidR="00342FC6" w:rsidRPr="0060784C" w:rsidRDefault="00342FC6" w:rsidP="00D73DDF">
      <w:pPr>
        <w:pStyle w:val="ListParagraph"/>
        <w:rPr>
          <w:rFonts w:ascii="Arial" w:hAnsi="Arial" w:cs="Arial"/>
          <w:b/>
          <w:bCs/>
          <w:sz w:val="24"/>
          <w:szCs w:val="24"/>
        </w:rPr>
      </w:pPr>
      <w:r w:rsidRPr="0060784C">
        <w:rPr>
          <w:rFonts w:ascii="Arial" w:hAnsi="Arial" w:cs="Arial"/>
          <w:b/>
          <w:bCs/>
          <w:sz w:val="24"/>
          <w:szCs w:val="24"/>
        </w:rPr>
        <w:t>Annex A</w:t>
      </w:r>
    </w:p>
    <w:p w14:paraId="52990709" w14:textId="77777777" w:rsidR="00342FC6" w:rsidRPr="00342FC6" w:rsidRDefault="00342FC6" w:rsidP="00D73DDF">
      <w:pPr>
        <w:pStyle w:val="ListParagraph"/>
        <w:rPr>
          <w:rFonts w:ascii="Arial" w:hAnsi="Arial" w:cs="Arial"/>
          <w:sz w:val="24"/>
          <w:szCs w:val="24"/>
        </w:rPr>
      </w:pPr>
    </w:p>
    <w:p w14:paraId="53AFCA65" w14:textId="77777777" w:rsidR="00342FC6" w:rsidRPr="00342FC6" w:rsidRDefault="00342FC6" w:rsidP="00D73DDF">
      <w:pPr>
        <w:pStyle w:val="ListParagraph"/>
        <w:rPr>
          <w:rFonts w:ascii="Arial" w:hAnsi="Arial" w:cs="Arial"/>
          <w:sz w:val="24"/>
          <w:szCs w:val="24"/>
        </w:rPr>
      </w:pPr>
      <w:r w:rsidRPr="00342FC6">
        <w:rPr>
          <w:rFonts w:ascii="Arial" w:hAnsi="Arial" w:cs="Arial"/>
          <w:sz w:val="24"/>
          <w:szCs w:val="24"/>
        </w:rPr>
        <w:t xml:space="preserve">In Annex A, section A.1 - it would be more accurate to describe the general principles of the UNCRC as “underpinning” the rest of the articles, rather than “assist in interpreting”. </w:t>
      </w:r>
    </w:p>
    <w:p w14:paraId="19F474A3" w14:textId="77777777" w:rsidR="00342FC6" w:rsidRPr="00342FC6" w:rsidRDefault="00342FC6" w:rsidP="00D73DDF">
      <w:pPr>
        <w:pStyle w:val="ListParagraph"/>
        <w:rPr>
          <w:rFonts w:ascii="Arial" w:hAnsi="Arial" w:cs="Arial"/>
          <w:sz w:val="24"/>
          <w:szCs w:val="24"/>
        </w:rPr>
      </w:pPr>
    </w:p>
    <w:p w14:paraId="522B52ED" w14:textId="77777777" w:rsidR="00342FC6" w:rsidRPr="00342FC6" w:rsidRDefault="00342FC6" w:rsidP="00D73DDF">
      <w:pPr>
        <w:pStyle w:val="ListParagraph"/>
        <w:rPr>
          <w:rFonts w:ascii="Arial" w:hAnsi="Arial" w:cs="Arial"/>
          <w:sz w:val="24"/>
          <w:szCs w:val="24"/>
        </w:rPr>
      </w:pPr>
      <w:r w:rsidRPr="00342FC6">
        <w:rPr>
          <w:rFonts w:ascii="Arial" w:hAnsi="Arial" w:cs="Arial"/>
          <w:sz w:val="24"/>
          <w:szCs w:val="24"/>
        </w:rPr>
        <w:t>In Annex A – Article 2.  The non-discrimination obligation in Article 2 is not a requirement to “treat all children equally”, as has been made clear by the Committee on the Rights of the Child. It is about equal access to rights.</w:t>
      </w:r>
    </w:p>
    <w:p w14:paraId="63193366" w14:textId="77777777" w:rsidR="00342FC6" w:rsidRPr="00342FC6" w:rsidRDefault="00342FC6" w:rsidP="00D73DDF">
      <w:pPr>
        <w:pStyle w:val="ListParagraph"/>
        <w:rPr>
          <w:rFonts w:ascii="Arial" w:hAnsi="Arial" w:cs="Arial"/>
          <w:sz w:val="24"/>
          <w:szCs w:val="24"/>
        </w:rPr>
      </w:pPr>
    </w:p>
    <w:p w14:paraId="58D5C012" w14:textId="77777777" w:rsidR="00342FC6" w:rsidRPr="00342FC6" w:rsidRDefault="00342FC6" w:rsidP="00D73DDF">
      <w:pPr>
        <w:pStyle w:val="ListParagraph"/>
        <w:rPr>
          <w:rFonts w:ascii="Arial" w:hAnsi="Arial" w:cs="Arial"/>
          <w:sz w:val="24"/>
          <w:szCs w:val="24"/>
        </w:rPr>
      </w:pPr>
      <w:r w:rsidRPr="00342FC6">
        <w:rPr>
          <w:rFonts w:ascii="Arial" w:hAnsi="Arial" w:cs="Arial"/>
          <w:sz w:val="24"/>
          <w:szCs w:val="24"/>
        </w:rPr>
        <w:t xml:space="preserve">The term “protected characteristic” is used here, there is a risk this is understood as having the specific meaning it has in the Equality Act. This paragraph should be amended to avoid confusion. The non-discrimination rights in Article 2 are much broader than those in the Equality Act, extending to “any other status”. </w:t>
      </w:r>
      <w:proofErr w:type="gramStart"/>
      <w:r w:rsidRPr="00342FC6">
        <w:rPr>
          <w:rFonts w:ascii="Arial" w:hAnsi="Arial" w:cs="Arial"/>
          <w:sz w:val="24"/>
          <w:szCs w:val="24"/>
        </w:rPr>
        <w:t>Indeed</w:t>
      </w:r>
      <w:proofErr w:type="gramEnd"/>
      <w:r w:rsidRPr="00342FC6">
        <w:rPr>
          <w:rFonts w:ascii="Arial" w:hAnsi="Arial" w:cs="Arial"/>
          <w:sz w:val="24"/>
          <w:szCs w:val="24"/>
        </w:rPr>
        <w:t xml:space="preserve"> it may be useful to include examples of “any other status” to demonstrate this breadth. </w:t>
      </w:r>
    </w:p>
    <w:p w14:paraId="1B366196" w14:textId="77777777" w:rsidR="00342FC6" w:rsidRPr="00342FC6" w:rsidRDefault="00342FC6" w:rsidP="00D73DDF">
      <w:pPr>
        <w:pStyle w:val="ListParagraph"/>
        <w:rPr>
          <w:rFonts w:ascii="Arial" w:hAnsi="Arial" w:cs="Arial"/>
          <w:sz w:val="24"/>
          <w:szCs w:val="24"/>
        </w:rPr>
      </w:pPr>
    </w:p>
    <w:p w14:paraId="104A7250" w14:textId="77777777" w:rsidR="00342FC6" w:rsidRPr="00342FC6" w:rsidRDefault="00342FC6" w:rsidP="00D73DDF">
      <w:pPr>
        <w:pStyle w:val="ListParagraph"/>
        <w:rPr>
          <w:rFonts w:ascii="Arial" w:hAnsi="Arial" w:cs="Arial"/>
          <w:sz w:val="24"/>
          <w:szCs w:val="24"/>
        </w:rPr>
      </w:pPr>
      <w:r w:rsidRPr="00342FC6">
        <w:rPr>
          <w:rFonts w:ascii="Arial" w:hAnsi="Arial" w:cs="Arial"/>
          <w:sz w:val="24"/>
          <w:szCs w:val="24"/>
        </w:rPr>
        <w:t xml:space="preserve">Likewise, the framing of direct discrimination and indirect discrimination is drawn from the Equality Act. The UNCRC places a duty on states to “respect and ensure the rights set forth in the present Convention to each child within their jurisdiction without discrimination of any kind”. Although it recognises both direct and indirect discrimination, the CRC generally does not significantly differentiate between them. Removing the Equality Act language from this section would simplify it. </w:t>
      </w:r>
    </w:p>
    <w:p w14:paraId="13103118" w14:textId="77777777" w:rsidR="00342FC6" w:rsidRPr="00342FC6" w:rsidRDefault="00342FC6" w:rsidP="00D73DDF">
      <w:pPr>
        <w:pStyle w:val="ListParagraph"/>
        <w:rPr>
          <w:rFonts w:ascii="Arial" w:hAnsi="Arial" w:cs="Arial"/>
          <w:sz w:val="24"/>
          <w:szCs w:val="24"/>
        </w:rPr>
      </w:pPr>
    </w:p>
    <w:p w14:paraId="6F382AE0" w14:textId="77777777" w:rsidR="00342FC6" w:rsidRPr="00342FC6" w:rsidRDefault="00342FC6" w:rsidP="00D73DDF">
      <w:pPr>
        <w:pStyle w:val="ListParagraph"/>
        <w:rPr>
          <w:rFonts w:ascii="Arial" w:hAnsi="Arial" w:cs="Arial"/>
          <w:sz w:val="24"/>
          <w:szCs w:val="24"/>
        </w:rPr>
      </w:pPr>
      <w:r w:rsidRPr="00342FC6">
        <w:rPr>
          <w:rFonts w:ascii="Arial" w:hAnsi="Arial" w:cs="Arial"/>
          <w:sz w:val="24"/>
          <w:szCs w:val="24"/>
        </w:rPr>
        <w:t xml:space="preserve">In Annex A – Article 6: Right to life, </w:t>
      </w:r>
      <w:proofErr w:type="gramStart"/>
      <w:r w:rsidRPr="00342FC6">
        <w:rPr>
          <w:rFonts w:ascii="Arial" w:hAnsi="Arial" w:cs="Arial"/>
          <w:sz w:val="24"/>
          <w:szCs w:val="24"/>
        </w:rPr>
        <w:t>survival</w:t>
      </w:r>
      <w:proofErr w:type="gramEnd"/>
      <w:r w:rsidRPr="00342FC6">
        <w:rPr>
          <w:rFonts w:ascii="Arial" w:hAnsi="Arial" w:cs="Arial"/>
          <w:sz w:val="24"/>
          <w:szCs w:val="24"/>
        </w:rPr>
        <w:t xml:space="preserve"> and development. We are not sure why General Comment 21 on Children in Street Situations has been used as a source for this section. There is a risk of this being interpreted narrowly as a result. The Right to Life is addressed by </w:t>
      </w:r>
      <w:proofErr w:type="gramStart"/>
      <w:r w:rsidRPr="00342FC6">
        <w:rPr>
          <w:rFonts w:ascii="Arial" w:hAnsi="Arial" w:cs="Arial"/>
          <w:sz w:val="24"/>
          <w:szCs w:val="24"/>
        </w:rPr>
        <w:t>a number of</w:t>
      </w:r>
      <w:proofErr w:type="gramEnd"/>
      <w:r w:rsidRPr="00342FC6">
        <w:rPr>
          <w:rFonts w:ascii="Arial" w:hAnsi="Arial" w:cs="Arial"/>
          <w:sz w:val="24"/>
          <w:szCs w:val="24"/>
        </w:rPr>
        <w:t xml:space="preserve"> General Comments and this should be reflected in the Statutory Guidance. </w:t>
      </w:r>
    </w:p>
    <w:p w14:paraId="58D1C650" w14:textId="77777777" w:rsidR="00342FC6" w:rsidRPr="00342FC6" w:rsidRDefault="00342FC6" w:rsidP="00D73DDF">
      <w:pPr>
        <w:pStyle w:val="ListParagraph"/>
        <w:rPr>
          <w:rFonts w:ascii="Arial" w:hAnsi="Arial" w:cs="Arial"/>
          <w:sz w:val="24"/>
          <w:szCs w:val="24"/>
        </w:rPr>
      </w:pPr>
    </w:p>
    <w:p w14:paraId="02B1DD7B" w14:textId="77777777" w:rsidR="00342FC6" w:rsidRPr="00342FC6" w:rsidRDefault="00342FC6" w:rsidP="00D73DDF">
      <w:pPr>
        <w:pStyle w:val="ListParagraph"/>
        <w:rPr>
          <w:rFonts w:ascii="Arial" w:hAnsi="Arial" w:cs="Arial"/>
          <w:sz w:val="24"/>
          <w:szCs w:val="24"/>
        </w:rPr>
      </w:pPr>
      <w:r w:rsidRPr="00342FC6">
        <w:rPr>
          <w:rFonts w:ascii="Arial" w:hAnsi="Arial" w:cs="Arial"/>
          <w:sz w:val="24"/>
          <w:szCs w:val="24"/>
        </w:rPr>
        <w:t xml:space="preserve">Annex A – Article 12: Views of the Child. This should say “Right to participation” or simply “Participation” to reflect the approach taken in General Comment 12. It also should be made clear that there is a presumption that all children </w:t>
      </w:r>
      <w:proofErr w:type="gramStart"/>
      <w:r w:rsidRPr="00342FC6">
        <w:rPr>
          <w:rFonts w:ascii="Arial" w:hAnsi="Arial" w:cs="Arial"/>
          <w:sz w:val="24"/>
          <w:szCs w:val="24"/>
        </w:rPr>
        <w:t>are capable of providing</w:t>
      </w:r>
      <w:proofErr w:type="gramEnd"/>
      <w:r w:rsidRPr="00342FC6">
        <w:rPr>
          <w:rFonts w:ascii="Arial" w:hAnsi="Arial" w:cs="Arial"/>
          <w:sz w:val="24"/>
          <w:szCs w:val="24"/>
        </w:rPr>
        <w:t xml:space="preserve"> their views. It would be useful to reference models of participation, for example of the Lundy Model to emphasise that the right to participate should be seen by public authorities as a process which includes how views are sought </w:t>
      </w:r>
      <w:proofErr w:type="gramStart"/>
      <w:r w:rsidRPr="00342FC6">
        <w:rPr>
          <w:rFonts w:ascii="Arial" w:hAnsi="Arial" w:cs="Arial"/>
          <w:sz w:val="24"/>
          <w:szCs w:val="24"/>
        </w:rPr>
        <w:t>and also</w:t>
      </w:r>
      <w:proofErr w:type="gramEnd"/>
      <w:r w:rsidRPr="00342FC6">
        <w:rPr>
          <w:rFonts w:ascii="Arial" w:hAnsi="Arial" w:cs="Arial"/>
          <w:sz w:val="24"/>
          <w:szCs w:val="24"/>
        </w:rPr>
        <w:t xml:space="preserve"> what influence they have. </w:t>
      </w:r>
    </w:p>
    <w:p w14:paraId="7C8A792B" w14:textId="77777777" w:rsidR="00342FC6" w:rsidRPr="00342FC6" w:rsidRDefault="00342FC6" w:rsidP="00D73DDF">
      <w:pPr>
        <w:pStyle w:val="ListParagraph"/>
        <w:rPr>
          <w:rFonts w:ascii="Arial" w:hAnsi="Arial" w:cs="Arial"/>
          <w:sz w:val="24"/>
          <w:szCs w:val="24"/>
        </w:rPr>
      </w:pPr>
    </w:p>
    <w:p w14:paraId="67575D62" w14:textId="77777777" w:rsidR="00342FC6" w:rsidRPr="00342FC6" w:rsidRDefault="00342FC6" w:rsidP="00D73DDF">
      <w:pPr>
        <w:pStyle w:val="ListParagraph"/>
        <w:rPr>
          <w:rFonts w:ascii="Arial" w:hAnsi="Arial" w:cs="Arial"/>
          <w:sz w:val="24"/>
          <w:szCs w:val="24"/>
        </w:rPr>
      </w:pPr>
      <w:r w:rsidRPr="00342FC6">
        <w:rPr>
          <w:rFonts w:ascii="Arial" w:hAnsi="Arial" w:cs="Arial"/>
          <w:sz w:val="24"/>
          <w:szCs w:val="24"/>
        </w:rPr>
        <w:lastRenderedPageBreak/>
        <w:t xml:space="preserve">We would recommend a thorough edit of sections A.3, A.4 and A.5. They are all overly complex and open to misinterpretation. A.3 and A.4 seem to </w:t>
      </w:r>
      <w:proofErr w:type="gramStart"/>
      <w:r w:rsidRPr="00342FC6">
        <w:rPr>
          <w:rFonts w:ascii="Arial" w:hAnsi="Arial" w:cs="Arial"/>
          <w:sz w:val="24"/>
          <w:szCs w:val="24"/>
        </w:rPr>
        <w:t>merge together</w:t>
      </w:r>
      <w:proofErr w:type="gramEnd"/>
      <w:r w:rsidRPr="00342FC6">
        <w:rPr>
          <w:rFonts w:ascii="Arial" w:hAnsi="Arial" w:cs="Arial"/>
          <w:sz w:val="24"/>
          <w:szCs w:val="24"/>
        </w:rPr>
        <w:t xml:space="preserve"> in a way which could cause confusion. </w:t>
      </w:r>
    </w:p>
    <w:p w14:paraId="1DA665A0" w14:textId="77777777" w:rsidR="00342FC6" w:rsidRPr="00342FC6" w:rsidRDefault="00342FC6" w:rsidP="00D73DDF">
      <w:pPr>
        <w:pStyle w:val="ListParagraph"/>
        <w:rPr>
          <w:rFonts w:ascii="Arial" w:hAnsi="Arial" w:cs="Arial"/>
          <w:sz w:val="24"/>
          <w:szCs w:val="24"/>
        </w:rPr>
      </w:pPr>
    </w:p>
    <w:p w14:paraId="1395699E" w14:textId="77777777" w:rsidR="00342FC6" w:rsidRPr="00342FC6" w:rsidRDefault="00342FC6" w:rsidP="00D73DDF">
      <w:pPr>
        <w:pStyle w:val="ListParagraph"/>
        <w:rPr>
          <w:rFonts w:ascii="Arial" w:hAnsi="Arial" w:cs="Arial"/>
          <w:sz w:val="24"/>
          <w:szCs w:val="24"/>
        </w:rPr>
      </w:pPr>
      <w:r w:rsidRPr="00342FC6">
        <w:rPr>
          <w:rFonts w:ascii="Arial" w:hAnsi="Arial" w:cs="Arial"/>
          <w:sz w:val="24"/>
          <w:szCs w:val="24"/>
        </w:rPr>
        <w:t xml:space="preserve">The concept of maximum available resources recognises the challenges that developing economies faced at the time the UNCRC was written. In Scotland, it would be applied in the context of the UK as an advanced economy – in which case it must be seen as a high bar. Likewise, progressive realisation should not be understood as permitting a staged implementation of the UNCRC in Scotland, given that the UK government ratified the UNCRC over 30 years ago. </w:t>
      </w:r>
    </w:p>
    <w:p w14:paraId="6601989B" w14:textId="77777777" w:rsidR="00342FC6" w:rsidRPr="00342FC6" w:rsidRDefault="00342FC6" w:rsidP="00D73DDF">
      <w:pPr>
        <w:pStyle w:val="ListParagraph"/>
        <w:rPr>
          <w:rFonts w:ascii="Arial" w:hAnsi="Arial" w:cs="Arial"/>
          <w:sz w:val="24"/>
          <w:szCs w:val="24"/>
        </w:rPr>
      </w:pPr>
    </w:p>
    <w:p w14:paraId="664853B7" w14:textId="77777777" w:rsidR="00342FC6" w:rsidRPr="00342FC6" w:rsidRDefault="00342FC6" w:rsidP="00D73DDF">
      <w:pPr>
        <w:pStyle w:val="ListParagraph"/>
        <w:rPr>
          <w:rFonts w:ascii="Arial" w:hAnsi="Arial" w:cs="Arial"/>
          <w:sz w:val="24"/>
          <w:szCs w:val="24"/>
        </w:rPr>
      </w:pPr>
      <w:r w:rsidRPr="00342FC6">
        <w:rPr>
          <w:rFonts w:ascii="Arial" w:hAnsi="Arial" w:cs="Arial"/>
          <w:sz w:val="24"/>
          <w:szCs w:val="24"/>
        </w:rPr>
        <w:t xml:space="preserve">We found it difficult to follow the two sections on evolving capacity, which repeat each other. We recommend these are considered again with a view to merging and condensing them. Reference should be made to both General Comment 7 on Early Childhood and General Comment 20 on the rights of children in adolescence. </w:t>
      </w:r>
    </w:p>
    <w:p w14:paraId="7FC07269" w14:textId="77777777" w:rsidR="00342FC6" w:rsidRPr="00342FC6" w:rsidRDefault="00342FC6" w:rsidP="00D73DDF">
      <w:pPr>
        <w:pStyle w:val="ListParagraph"/>
        <w:rPr>
          <w:rFonts w:ascii="Arial" w:hAnsi="Arial" w:cs="Arial"/>
          <w:sz w:val="24"/>
          <w:szCs w:val="24"/>
        </w:rPr>
      </w:pPr>
    </w:p>
    <w:p w14:paraId="14F22BAB" w14:textId="77777777" w:rsidR="00342FC6" w:rsidRPr="0060784C" w:rsidRDefault="00342FC6" w:rsidP="00D73DDF">
      <w:pPr>
        <w:pStyle w:val="ListParagraph"/>
        <w:rPr>
          <w:rFonts w:ascii="Arial" w:hAnsi="Arial" w:cs="Arial"/>
          <w:b/>
          <w:bCs/>
          <w:sz w:val="24"/>
          <w:szCs w:val="24"/>
        </w:rPr>
      </w:pPr>
      <w:r w:rsidRPr="0060784C">
        <w:rPr>
          <w:rFonts w:ascii="Arial" w:hAnsi="Arial" w:cs="Arial"/>
          <w:b/>
          <w:bCs/>
          <w:sz w:val="24"/>
          <w:szCs w:val="24"/>
        </w:rPr>
        <w:t>Annex B</w:t>
      </w:r>
    </w:p>
    <w:p w14:paraId="29820CF9" w14:textId="77777777" w:rsidR="00342FC6" w:rsidRPr="00342FC6" w:rsidRDefault="00342FC6" w:rsidP="00D73DDF">
      <w:pPr>
        <w:pStyle w:val="ListParagraph"/>
        <w:rPr>
          <w:rFonts w:ascii="Arial" w:hAnsi="Arial" w:cs="Arial"/>
          <w:sz w:val="24"/>
          <w:szCs w:val="24"/>
        </w:rPr>
      </w:pPr>
    </w:p>
    <w:p w14:paraId="7D387BBA" w14:textId="77777777" w:rsidR="00342FC6" w:rsidRPr="00342FC6" w:rsidRDefault="00342FC6" w:rsidP="00D73DDF">
      <w:pPr>
        <w:pStyle w:val="ListParagraph"/>
        <w:rPr>
          <w:rFonts w:ascii="Arial" w:hAnsi="Arial" w:cs="Arial"/>
          <w:sz w:val="24"/>
          <w:szCs w:val="24"/>
        </w:rPr>
      </w:pPr>
      <w:r w:rsidRPr="00342FC6">
        <w:rPr>
          <w:rFonts w:ascii="Arial" w:hAnsi="Arial" w:cs="Arial"/>
          <w:sz w:val="24"/>
          <w:szCs w:val="24"/>
        </w:rPr>
        <w:t xml:space="preserve">In Annex B </w:t>
      </w:r>
      <w:proofErr w:type="gramStart"/>
      <w:r w:rsidRPr="00342FC6">
        <w:rPr>
          <w:rFonts w:ascii="Arial" w:hAnsi="Arial" w:cs="Arial"/>
          <w:sz w:val="24"/>
          <w:szCs w:val="24"/>
        </w:rPr>
        <w:t>section</w:t>
      </w:r>
      <w:proofErr w:type="gramEnd"/>
      <w:r w:rsidRPr="00342FC6">
        <w:rPr>
          <w:rFonts w:ascii="Arial" w:hAnsi="Arial" w:cs="Arial"/>
          <w:sz w:val="24"/>
          <w:szCs w:val="24"/>
        </w:rPr>
        <w:t xml:space="preserve"> B.1 we note that the Committee on the Rights of the Child have moved to a reporting scheduled of approximately every 8 years. </w:t>
      </w:r>
    </w:p>
    <w:p w14:paraId="7AEF9583" w14:textId="77777777" w:rsidR="00342FC6" w:rsidRPr="00342FC6" w:rsidRDefault="00342FC6" w:rsidP="00D73DDF">
      <w:pPr>
        <w:pStyle w:val="ListParagraph"/>
        <w:rPr>
          <w:rFonts w:ascii="Arial" w:hAnsi="Arial" w:cs="Arial"/>
          <w:sz w:val="24"/>
          <w:szCs w:val="24"/>
        </w:rPr>
      </w:pPr>
    </w:p>
    <w:p w14:paraId="5447C809" w14:textId="77777777" w:rsidR="00342FC6" w:rsidRPr="00342FC6" w:rsidRDefault="00342FC6" w:rsidP="00D73DDF">
      <w:pPr>
        <w:pStyle w:val="ListParagraph"/>
        <w:rPr>
          <w:rFonts w:ascii="Arial" w:hAnsi="Arial" w:cs="Arial"/>
          <w:sz w:val="24"/>
          <w:szCs w:val="24"/>
        </w:rPr>
      </w:pPr>
      <w:r w:rsidRPr="00342FC6">
        <w:rPr>
          <w:rFonts w:ascii="Arial" w:hAnsi="Arial" w:cs="Arial"/>
          <w:sz w:val="24"/>
          <w:szCs w:val="24"/>
        </w:rPr>
        <w:t xml:space="preserve">In Annex B </w:t>
      </w:r>
      <w:proofErr w:type="gramStart"/>
      <w:r w:rsidRPr="00342FC6">
        <w:rPr>
          <w:rFonts w:ascii="Arial" w:hAnsi="Arial" w:cs="Arial"/>
          <w:sz w:val="24"/>
          <w:szCs w:val="24"/>
        </w:rPr>
        <w:t>section</w:t>
      </w:r>
      <w:proofErr w:type="gramEnd"/>
      <w:r w:rsidRPr="00342FC6">
        <w:rPr>
          <w:rFonts w:ascii="Arial" w:hAnsi="Arial" w:cs="Arial"/>
          <w:sz w:val="24"/>
          <w:szCs w:val="24"/>
        </w:rPr>
        <w:t xml:space="preserve"> B.2, we are not sure why these particular General Comments have been selected but are particularly concerned by the inclusion of General Comment 10, which was withdraw in 2019 when it was superseded by General Comment 24.  It would also be useful to draw attention of General Comment 20 on the rights of the child during adolescence, particularly in the context of evolving capacity. </w:t>
      </w:r>
    </w:p>
    <w:p w14:paraId="6B1D1C81" w14:textId="77777777" w:rsidR="00342FC6" w:rsidRPr="00342FC6" w:rsidRDefault="00342FC6" w:rsidP="00D6538F">
      <w:pPr>
        <w:pStyle w:val="PlainText"/>
        <w:ind w:left="567" w:hanging="567"/>
        <w:rPr>
          <w:rFonts w:cs="Arial"/>
          <w:szCs w:val="24"/>
        </w:rPr>
      </w:pPr>
    </w:p>
    <w:p w14:paraId="56DB6E7B" w14:textId="539C9D25" w:rsidR="00342FC6" w:rsidRPr="00342FC6" w:rsidRDefault="00D73DDF" w:rsidP="00D73DDF">
      <w:pPr>
        <w:pStyle w:val="PlainText"/>
        <w:rPr>
          <w:rFonts w:cs="Arial"/>
          <w:szCs w:val="24"/>
        </w:rPr>
      </w:pPr>
      <w:r>
        <w:rPr>
          <w:rFonts w:cs="Arial"/>
          <w:szCs w:val="24"/>
        </w:rPr>
        <w:t>11.</w:t>
      </w:r>
      <w:r>
        <w:rPr>
          <w:rFonts w:cs="Arial"/>
          <w:szCs w:val="24"/>
        </w:rPr>
        <w:tab/>
      </w:r>
      <w:r w:rsidR="00342FC6" w:rsidRPr="00342FC6">
        <w:rPr>
          <w:rFonts w:cs="Arial"/>
          <w:szCs w:val="24"/>
        </w:rPr>
        <w:t>I clearly understand how to use the Compatibility Review Framework.</w:t>
      </w:r>
    </w:p>
    <w:p w14:paraId="3B2A5AFF" w14:textId="77777777" w:rsidR="00342FC6" w:rsidRPr="00342FC6" w:rsidRDefault="00342FC6" w:rsidP="00D6538F">
      <w:pPr>
        <w:pStyle w:val="PlainText"/>
        <w:ind w:left="567" w:hanging="567"/>
        <w:rPr>
          <w:rFonts w:cs="Arial"/>
          <w:szCs w:val="24"/>
        </w:rPr>
      </w:pPr>
    </w:p>
    <w:p w14:paraId="62F1BB35" w14:textId="77777777" w:rsidR="00342FC6" w:rsidRPr="00342FC6" w:rsidRDefault="00000000" w:rsidP="00D73DDF">
      <w:pPr>
        <w:pStyle w:val="PlainText"/>
        <w:ind w:left="1134" w:hanging="567"/>
        <w:rPr>
          <w:rFonts w:cs="Arial"/>
          <w:szCs w:val="24"/>
        </w:rPr>
      </w:pPr>
      <w:sdt>
        <w:sdtPr>
          <w:rPr>
            <w:rFonts w:cs="Arial"/>
            <w:szCs w:val="24"/>
          </w:rPr>
          <w:id w:val="503409189"/>
          <w14:checkbox>
            <w14:checked w14:val="0"/>
            <w14:checkedState w14:val="2612" w14:font="MS Gothic"/>
            <w14:uncheckedState w14:val="2610" w14:font="MS Gothic"/>
          </w14:checkbox>
        </w:sdtPr>
        <w:sdtContent>
          <w:r w:rsidR="00342FC6" w:rsidRPr="00342FC6">
            <w:rPr>
              <w:rFonts w:ascii="Segoe UI Symbol" w:eastAsia="MS Gothic"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6EA7C089" w14:textId="77777777" w:rsidR="00342FC6" w:rsidRPr="00342FC6" w:rsidRDefault="00000000" w:rsidP="00D73DDF">
      <w:pPr>
        <w:pStyle w:val="PlainText"/>
        <w:ind w:left="1134" w:hanging="567"/>
        <w:rPr>
          <w:rFonts w:cs="Arial"/>
          <w:szCs w:val="24"/>
        </w:rPr>
      </w:pPr>
      <w:sdt>
        <w:sdtPr>
          <w:rPr>
            <w:rFonts w:cs="Arial"/>
            <w:szCs w:val="24"/>
          </w:rPr>
          <w:id w:val="1648780550"/>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Agree</w:t>
      </w:r>
    </w:p>
    <w:p w14:paraId="34923145" w14:textId="77777777" w:rsidR="00342FC6" w:rsidRPr="00342FC6" w:rsidRDefault="00000000" w:rsidP="00D73DDF">
      <w:pPr>
        <w:pStyle w:val="PlainText"/>
        <w:ind w:left="1134" w:hanging="567"/>
        <w:rPr>
          <w:rFonts w:cs="Arial"/>
          <w:szCs w:val="24"/>
        </w:rPr>
      </w:pPr>
      <w:sdt>
        <w:sdtPr>
          <w:rPr>
            <w:rFonts w:cs="Arial"/>
            <w:szCs w:val="24"/>
          </w:rPr>
          <w:id w:val="-520396429"/>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Neither agree nor disagree</w:t>
      </w:r>
    </w:p>
    <w:p w14:paraId="6778F450" w14:textId="77777777" w:rsidR="00342FC6" w:rsidRPr="00342FC6" w:rsidRDefault="00000000" w:rsidP="00D73DDF">
      <w:pPr>
        <w:pStyle w:val="PlainText"/>
        <w:ind w:left="1134" w:hanging="567"/>
        <w:rPr>
          <w:rFonts w:cs="Arial"/>
          <w:szCs w:val="24"/>
        </w:rPr>
      </w:pPr>
      <w:sdt>
        <w:sdtPr>
          <w:rPr>
            <w:rFonts w:cs="Arial"/>
            <w:szCs w:val="24"/>
          </w:rPr>
          <w:id w:val="-585992181"/>
          <w14:checkbox>
            <w14:checked w14:val="1"/>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Disagree</w:t>
      </w:r>
    </w:p>
    <w:p w14:paraId="26418F82" w14:textId="77777777" w:rsidR="00342FC6" w:rsidRPr="00342FC6" w:rsidRDefault="00000000" w:rsidP="00D73DDF">
      <w:pPr>
        <w:pStyle w:val="PlainText"/>
        <w:ind w:left="1134" w:hanging="567"/>
        <w:rPr>
          <w:rFonts w:cs="Arial"/>
          <w:szCs w:val="24"/>
        </w:rPr>
      </w:pPr>
      <w:sdt>
        <w:sdtPr>
          <w:rPr>
            <w:rFonts w:cs="Arial"/>
            <w:szCs w:val="24"/>
          </w:rPr>
          <w:id w:val="-1920090368"/>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3C2B3E07" w14:textId="77777777" w:rsidR="00342FC6" w:rsidRDefault="00342FC6" w:rsidP="00D6538F">
      <w:pPr>
        <w:pStyle w:val="PlainText"/>
        <w:ind w:left="567" w:hanging="567"/>
        <w:rPr>
          <w:rFonts w:cs="Arial"/>
          <w:szCs w:val="24"/>
        </w:rPr>
      </w:pPr>
    </w:p>
    <w:p w14:paraId="1E02EFEB" w14:textId="77777777" w:rsidR="0060784C" w:rsidRPr="00342FC6" w:rsidRDefault="0060784C" w:rsidP="00D73DDF">
      <w:pPr>
        <w:pStyle w:val="ListParagraph"/>
        <w:ind w:left="567"/>
        <w:rPr>
          <w:rFonts w:ascii="Arial" w:hAnsi="Arial" w:cs="Arial"/>
          <w:sz w:val="24"/>
          <w:szCs w:val="24"/>
        </w:rPr>
      </w:pPr>
      <w:r w:rsidRPr="00342FC6">
        <w:rPr>
          <w:rFonts w:ascii="Arial" w:hAnsi="Arial" w:cs="Arial"/>
          <w:sz w:val="24"/>
          <w:szCs w:val="24"/>
        </w:rPr>
        <w:t>Although this framework differs from the Scottish Government’s CRWIA, it in many ways resembles a CRIA. We are concerned that public authorities may not have sufficient clarity on the scope and purpose of the Compatibility Review Framework. Despite its non-statutory nature, CRIA would therefore be our recommendation for this purpose.</w:t>
      </w:r>
    </w:p>
    <w:p w14:paraId="71BACBA2" w14:textId="77777777" w:rsidR="0060784C" w:rsidRPr="00342FC6" w:rsidRDefault="0060784C" w:rsidP="00D73DDF">
      <w:pPr>
        <w:pStyle w:val="ListParagraph"/>
        <w:ind w:left="567"/>
        <w:rPr>
          <w:rFonts w:ascii="Arial" w:hAnsi="Arial" w:cs="Arial"/>
          <w:sz w:val="24"/>
          <w:szCs w:val="24"/>
        </w:rPr>
      </w:pPr>
    </w:p>
    <w:p w14:paraId="2622E7B6" w14:textId="77777777" w:rsidR="0060784C" w:rsidRPr="00342FC6" w:rsidRDefault="0060784C" w:rsidP="00D73DDF">
      <w:pPr>
        <w:pStyle w:val="ListParagraph"/>
        <w:ind w:left="567"/>
        <w:rPr>
          <w:rFonts w:ascii="Arial" w:hAnsi="Arial" w:cs="Arial"/>
          <w:sz w:val="24"/>
          <w:szCs w:val="24"/>
        </w:rPr>
      </w:pPr>
      <w:r w:rsidRPr="00342FC6">
        <w:rPr>
          <w:rFonts w:ascii="Arial" w:hAnsi="Arial" w:cs="Arial"/>
          <w:sz w:val="24"/>
          <w:szCs w:val="24"/>
        </w:rPr>
        <w:t xml:space="preserve">If the intention is that the two frameworks remain separate, it should be far clearer when it is appropriate to use each. </w:t>
      </w:r>
    </w:p>
    <w:p w14:paraId="265A2635" w14:textId="77777777" w:rsidR="00342FC6" w:rsidRPr="00342FC6" w:rsidRDefault="00342FC6" w:rsidP="00D6538F">
      <w:pPr>
        <w:pStyle w:val="PlainText"/>
        <w:ind w:left="567" w:hanging="567"/>
        <w:rPr>
          <w:rFonts w:cs="Arial"/>
          <w:szCs w:val="24"/>
        </w:rPr>
      </w:pPr>
    </w:p>
    <w:p w14:paraId="6B789545" w14:textId="25EFD572" w:rsidR="00342FC6" w:rsidRPr="00342FC6" w:rsidRDefault="00D73DDF" w:rsidP="00D73DDF">
      <w:pPr>
        <w:pStyle w:val="PlainText"/>
        <w:ind w:left="720" w:hanging="720"/>
        <w:rPr>
          <w:rFonts w:cs="Arial"/>
          <w:szCs w:val="24"/>
        </w:rPr>
      </w:pPr>
      <w:r>
        <w:rPr>
          <w:rFonts w:cs="Arial"/>
          <w:szCs w:val="24"/>
        </w:rPr>
        <w:t>12.</w:t>
      </w:r>
      <w:r>
        <w:rPr>
          <w:rFonts w:cs="Arial"/>
          <w:szCs w:val="24"/>
        </w:rPr>
        <w:tab/>
      </w:r>
      <w:r w:rsidR="00342FC6" w:rsidRPr="00342FC6">
        <w:rPr>
          <w:rFonts w:cs="Arial"/>
          <w:szCs w:val="24"/>
        </w:rPr>
        <w:t xml:space="preserve">Overall, the guidance is presented in an accessible manner, e.g. the content, style, and length make this a user-friendly and practical resource. </w:t>
      </w:r>
    </w:p>
    <w:p w14:paraId="0C0365FD" w14:textId="77777777" w:rsidR="00342FC6" w:rsidRPr="00342FC6" w:rsidRDefault="00342FC6" w:rsidP="00D6538F">
      <w:pPr>
        <w:pStyle w:val="PlainText"/>
        <w:ind w:left="567" w:hanging="567"/>
        <w:rPr>
          <w:rFonts w:cs="Arial"/>
          <w:szCs w:val="24"/>
        </w:rPr>
      </w:pPr>
    </w:p>
    <w:p w14:paraId="796C605E" w14:textId="77777777" w:rsidR="00342FC6" w:rsidRPr="00342FC6" w:rsidRDefault="00000000" w:rsidP="00D73DDF">
      <w:pPr>
        <w:pStyle w:val="PlainText"/>
        <w:ind w:left="1287" w:hanging="567"/>
        <w:rPr>
          <w:rFonts w:cs="Arial"/>
          <w:szCs w:val="24"/>
        </w:rPr>
      </w:pPr>
      <w:sdt>
        <w:sdtPr>
          <w:rPr>
            <w:rFonts w:cs="Arial"/>
            <w:szCs w:val="24"/>
          </w:rPr>
          <w:id w:val="1095284144"/>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4DB9DE99" w14:textId="77777777" w:rsidR="00342FC6" w:rsidRPr="00342FC6" w:rsidRDefault="00000000" w:rsidP="00D73DDF">
      <w:pPr>
        <w:pStyle w:val="PlainText"/>
        <w:ind w:left="1287" w:hanging="567"/>
        <w:rPr>
          <w:rFonts w:cs="Arial"/>
          <w:szCs w:val="24"/>
        </w:rPr>
      </w:pPr>
      <w:sdt>
        <w:sdtPr>
          <w:rPr>
            <w:rFonts w:cs="Arial"/>
            <w:szCs w:val="24"/>
          </w:rPr>
          <w:id w:val="-1936743367"/>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Agree</w:t>
      </w:r>
    </w:p>
    <w:p w14:paraId="6E9D7583" w14:textId="77777777" w:rsidR="00342FC6" w:rsidRPr="00342FC6" w:rsidRDefault="00000000" w:rsidP="00D73DDF">
      <w:pPr>
        <w:pStyle w:val="PlainText"/>
        <w:ind w:left="1287" w:hanging="567"/>
        <w:rPr>
          <w:rFonts w:cs="Arial"/>
          <w:szCs w:val="24"/>
        </w:rPr>
      </w:pPr>
      <w:sdt>
        <w:sdtPr>
          <w:rPr>
            <w:rFonts w:cs="Arial"/>
            <w:szCs w:val="24"/>
          </w:rPr>
          <w:id w:val="-1915538954"/>
          <w14:checkbox>
            <w14:checked w14:val="1"/>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Neither agree nor disagree</w:t>
      </w:r>
    </w:p>
    <w:p w14:paraId="29B20BF1" w14:textId="77777777" w:rsidR="00342FC6" w:rsidRPr="00342FC6" w:rsidRDefault="00000000" w:rsidP="00D73DDF">
      <w:pPr>
        <w:pStyle w:val="PlainText"/>
        <w:ind w:left="1287" w:hanging="567"/>
        <w:rPr>
          <w:rFonts w:cs="Arial"/>
          <w:szCs w:val="24"/>
        </w:rPr>
      </w:pPr>
      <w:sdt>
        <w:sdtPr>
          <w:rPr>
            <w:rFonts w:cs="Arial"/>
            <w:szCs w:val="24"/>
          </w:rPr>
          <w:id w:val="-388033742"/>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Disagree</w:t>
      </w:r>
    </w:p>
    <w:p w14:paraId="2E80DF03" w14:textId="77777777" w:rsidR="00342FC6" w:rsidRPr="00342FC6" w:rsidRDefault="00000000" w:rsidP="00D73DDF">
      <w:pPr>
        <w:pStyle w:val="PlainText"/>
        <w:ind w:left="1287" w:hanging="567"/>
        <w:rPr>
          <w:rFonts w:cs="Arial"/>
          <w:szCs w:val="24"/>
        </w:rPr>
      </w:pPr>
      <w:sdt>
        <w:sdtPr>
          <w:rPr>
            <w:rFonts w:cs="Arial"/>
            <w:szCs w:val="24"/>
          </w:rPr>
          <w:id w:val="-1389871490"/>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20F8545A" w14:textId="77777777" w:rsidR="00342FC6" w:rsidRPr="00342FC6" w:rsidRDefault="00342FC6" w:rsidP="00D6538F">
      <w:pPr>
        <w:pStyle w:val="PlainText"/>
        <w:ind w:left="567" w:hanging="567"/>
        <w:rPr>
          <w:rFonts w:cs="Arial"/>
          <w:szCs w:val="24"/>
        </w:rPr>
      </w:pPr>
    </w:p>
    <w:p w14:paraId="3E9A6C4A" w14:textId="2C183984" w:rsidR="00342FC6" w:rsidRPr="00342FC6" w:rsidRDefault="00D73DDF" w:rsidP="00D73DDF">
      <w:pPr>
        <w:pStyle w:val="PlainText"/>
        <w:ind w:left="720" w:hanging="720"/>
        <w:rPr>
          <w:rFonts w:cs="Arial"/>
          <w:szCs w:val="24"/>
        </w:rPr>
      </w:pPr>
      <w:r>
        <w:rPr>
          <w:rFonts w:cs="Arial"/>
          <w:szCs w:val="24"/>
        </w:rPr>
        <w:t>13.</w:t>
      </w:r>
      <w:r>
        <w:rPr>
          <w:rFonts w:cs="Arial"/>
          <w:szCs w:val="24"/>
        </w:rPr>
        <w:tab/>
      </w:r>
      <w:r w:rsidR="00342FC6" w:rsidRPr="00342FC6">
        <w:rPr>
          <w:rFonts w:cs="Arial"/>
          <w:szCs w:val="24"/>
        </w:rPr>
        <w:t>Overall, the guidance supports an improved understanding and ability to fulfil the duties under Part 2 of the Act.</w:t>
      </w:r>
    </w:p>
    <w:p w14:paraId="45393736" w14:textId="77777777" w:rsidR="00342FC6" w:rsidRPr="00342FC6" w:rsidRDefault="00342FC6" w:rsidP="00D6538F">
      <w:pPr>
        <w:pStyle w:val="PlainText"/>
        <w:ind w:left="567" w:hanging="567"/>
        <w:rPr>
          <w:rFonts w:cs="Arial"/>
          <w:szCs w:val="24"/>
        </w:rPr>
      </w:pPr>
    </w:p>
    <w:p w14:paraId="3F07F4C6" w14:textId="77777777" w:rsidR="00342FC6" w:rsidRPr="00342FC6" w:rsidRDefault="00000000" w:rsidP="00D73DDF">
      <w:pPr>
        <w:pStyle w:val="PlainText"/>
        <w:ind w:left="1287" w:hanging="567"/>
        <w:rPr>
          <w:rFonts w:cs="Arial"/>
          <w:szCs w:val="24"/>
        </w:rPr>
      </w:pPr>
      <w:sdt>
        <w:sdtPr>
          <w:rPr>
            <w:rFonts w:cs="Arial"/>
            <w:szCs w:val="24"/>
          </w:rPr>
          <w:id w:val="-1303382159"/>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2F4627D2" w14:textId="77777777" w:rsidR="00342FC6" w:rsidRPr="00342FC6" w:rsidRDefault="00000000" w:rsidP="00D73DDF">
      <w:pPr>
        <w:pStyle w:val="PlainText"/>
        <w:ind w:left="1287" w:hanging="567"/>
        <w:rPr>
          <w:rFonts w:cs="Arial"/>
          <w:szCs w:val="24"/>
        </w:rPr>
      </w:pPr>
      <w:sdt>
        <w:sdtPr>
          <w:rPr>
            <w:rFonts w:cs="Arial"/>
            <w:szCs w:val="24"/>
          </w:rPr>
          <w:id w:val="258884820"/>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Agree</w:t>
      </w:r>
    </w:p>
    <w:p w14:paraId="31727F9A" w14:textId="77777777" w:rsidR="00342FC6" w:rsidRPr="00342FC6" w:rsidRDefault="00000000" w:rsidP="00D73DDF">
      <w:pPr>
        <w:pStyle w:val="PlainText"/>
        <w:ind w:left="1287" w:hanging="567"/>
        <w:rPr>
          <w:rFonts w:cs="Arial"/>
          <w:szCs w:val="24"/>
        </w:rPr>
      </w:pPr>
      <w:sdt>
        <w:sdtPr>
          <w:rPr>
            <w:rFonts w:cs="Arial"/>
            <w:szCs w:val="24"/>
          </w:rPr>
          <w:id w:val="-825903022"/>
          <w14:checkbox>
            <w14:checked w14:val="1"/>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Neither agree nor disagree</w:t>
      </w:r>
    </w:p>
    <w:p w14:paraId="10960865" w14:textId="77777777" w:rsidR="00342FC6" w:rsidRPr="00342FC6" w:rsidRDefault="00000000" w:rsidP="00D73DDF">
      <w:pPr>
        <w:pStyle w:val="PlainText"/>
        <w:ind w:left="1287" w:hanging="567"/>
        <w:rPr>
          <w:rFonts w:cs="Arial"/>
          <w:szCs w:val="24"/>
        </w:rPr>
      </w:pPr>
      <w:sdt>
        <w:sdtPr>
          <w:rPr>
            <w:rFonts w:cs="Arial"/>
            <w:szCs w:val="24"/>
          </w:rPr>
          <w:id w:val="2115939374"/>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Disagree</w:t>
      </w:r>
    </w:p>
    <w:p w14:paraId="66CCCF2C" w14:textId="77777777" w:rsidR="00342FC6" w:rsidRPr="00342FC6" w:rsidRDefault="00000000" w:rsidP="00D73DDF">
      <w:pPr>
        <w:pStyle w:val="PlainText"/>
        <w:ind w:left="1287" w:hanging="567"/>
        <w:rPr>
          <w:rFonts w:cs="Arial"/>
          <w:szCs w:val="24"/>
        </w:rPr>
      </w:pPr>
      <w:sdt>
        <w:sdtPr>
          <w:rPr>
            <w:rFonts w:cs="Arial"/>
            <w:szCs w:val="24"/>
          </w:rPr>
          <w:id w:val="-1009915678"/>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5A34CBEF" w14:textId="77777777" w:rsidR="00342FC6" w:rsidRPr="00342FC6" w:rsidRDefault="00342FC6" w:rsidP="00D6538F">
      <w:pPr>
        <w:pStyle w:val="PlainText"/>
        <w:ind w:left="567" w:hanging="567"/>
        <w:rPr>
          <w:rFonts w:cs="Arial"/>
          <w:szCs w:val="24"/>
        </w:rPr>
      </w:pPr>
    </w:p>
    <w:p w14:paraId="368080D1" w14:textId="77777777" w:rsidR="00342FC6" w:rsidRPr="00342FC6" w:rsidRDefault="00342FC6" w:rsidP="00D6538F">
      <w:pPr>
        <w:pStyle w:val="PlainText"/>
        <w:ind w:left="567" w:hanging="567"/>
        <w:rPr>
          <w:rFonts w:cs="Arial"/>
          <w:szCs w:val="24"/>
        </w:rPr>
      </w:pPr>
    </w:p>
    <w:p w14:paraId="7ADAA877" w14:textId="35A82C2F" w:rsidR="00342FC6" w:rsidRPr="00342FC6" w:rsidRDefault="00D73DDF" w:rsidP="00D73DDF">
      <w:pPr>
        <w:pStyle w:val="PlainText"/>
        <w:ind w:left="720" w:hanging="720"/>
        <w:rPr>
          <w:rFonts w:cs="Arial"/>
          <w:szCs w:val="24"/>
        </w:rPr>
      </w:pPr>
      <w:r>
        <w:rPr>
          <w:rFonts w:cs="Arial"/>
          <w:szCs w:val="24"/>
        </w:rPr>
        <w:t>14.</w:t>
      </w:r>
      <w:r>
        <w:rPr>
          <w:rFonts w:cs="Arial"/>
          <w:szCs w:val="24"/>
        </w:rPr>
        <w:tab/>
      </w:r>
      <w:r w:rsidR="00342FC6" w:rsidRPr="00342FC6">
        <w:rPr>
          <w:rFonts w:cs="Arial"/>
          <w:szCs w:val="24"/>
        </w:rPr>
        <w:t>Are there any areas where you think the Part 2 guidance could be improved? Please cite specific parts of the guidance if relevant.</w:t>
      </w:r>
    </w:p>
    <w:p w14:paraId="317DD591" w14:textId="77777777" w:rsidR="00342FC6" w:rsidRDefault="00342FC6" w:rsidP="00D6538F">
      <w:pPr>
        <w:pStyle w:val="PlainText"/>
        <w:ind w:left="567" w:hanging="567"/>
        <w:rPr>
          <w:rFonts w:cs="Arial"/>
          <w:szCs w:val="24"/>
        </w:rPr>
      </w:pPr>
    </w:p>
    <w:p w14:paraId="2946C4A7" w14:textId="77777777" w:rsidR="0060784C" w:rsidRPr="00342FC6" w:rsidRDefault="0060784C" w:rsidP="00D73DDF">
      <w:pPr>
        <w:pStyle w:val="ListParagraph"/>
        <w:rPr>
          <w:rFonts w:ascii="Arial" w:hAnsi="Arial" w:cs="Arial"/>
          <w:sz w:val="24"/>
          <w:szCs w:val="24"/>
        </w:rPr>
      </w:pPr>
      <w:r w:rsidRPr="00342FC6">
        <w:rPr>
          <w:rFonts w:ascii="Arial" w:hAnsi="Arial" w:cs="Arial"/>
          <w:sz w:val="24"/>
          <w:szCs w:val="24"/>
        </w:rPr>
        <w:t xml:space="preserve">We note that some of the numbering in Annex D is inaccurate. This section also uses headings for each right i.e. Article 12 Respect for the Views of the Child, which we would describe as more accurately being child’s right to participate. Whilst it is not unusual for these to be used in policy documents, they do not appear in the UNCRC itself, nor in Schedule 1 of the UNCRC Incorporation Act. Given this is statutory guidance, we recommend these are removed and the text of the UNCRC, as enacted in Schedule 1, is used. </w:t>
      </w:r>
    </w:p>
    <w:p w14:paraId="4C91E5A5" w14:textId="77777777" w:rsidR="0060784C" w:rsidRDefault="0060784C" w:rsidP="00D6538F">
      <w:pPr>
        <w:pStyle w:val="PlainText"/>
        <w:ind w:left="567" w:hanging="567"/>
        <w:rPr>
          <w:rFonts w:cs="Arial"/>
          <w:b/>
          <w:szCs w:val="24"/>
        </w:rPr>
      </w:pPr>
    </w:p>
    <w:p w14:paraId="6BD42BE4" w14:textId="7BD59A6B" w:rsidR="00342FC6" w:rsidRPr="00342FC6" w:rsidRDefault="00342FC6" w:rsidP="00D6538F">
      <w:pPr>
        <w:pStyle w:val="PlainText"/>
        <w:ind w:left="567" w:hanging="567"/>
        <w:rPr>
          <w:rFonts w:cs="Arial"/>
          <w:b/>
          <w:szCs w:val="24"/>
        </w:rPr>
      </w:pPr>
      <w:r w:rsidRPr="00342FC6">
        <w:rPr>
          <w:rFonts w:cs="Arial"/>
          <w:b/>
          <w:szCs w:val="24"/>
        </w:rPr>
        <w:t>Part 3 Guidance</w:t>
      </w:r>
    </w:p>
    <w:p w14:paraId="45A4C84F" w14:textId="77777777" w:rsidR="00342FC6" w:rsidRPr="00342FC6" w:rsidRDefault="00342FC6" w:rsidP="00D6538F">
      <w:pPr>
        <w:pStyle w:val="PlainText"/>
        <w:ind w:left="567" w:hanging="567"/>
        <w:rPr>
          <w:rFonts w:cs="Arial"/>
          <w:b/>
          <w:szCs w:val="24"/>
        </w:rPr>
      </w:pPr>
    </w:p>
    <w:p w14:paraId="5DA5498D" w14:textId="77777777" w:rsidR="00342FC6" w:rsidRPr="00342FC6" w:rsidRDefault="00342FC6" w:rsidP="000D7310">
      <w:pPr>
        <w:pStyle w:val="PlainText"/>
        <w:rPr>
          <w:rFonts w:cs="Arial"/>
          <w:szCs w:val="24"/>
        </w:rPr>
      </w:pPr>
      <w:r w:rsidRPr="00342FC6">
        <w:rPr>
          <w:rFonts w:cs="Arial"/>
          <w:szCs w:val="24"/>
        </w:rPr>
        <w:t>The following consultation questions 14-20, relate to the draft statutory guidance on Part 3 (section 18) of the UNCRC Act. This is particularly relevant to public authorities listed in section 19 of the Act.</w:t>
      </w:r>
    </w:p>
    <w:p w14:paraId="290391AC" w14:textId="77777777" w:rsidR="00342FC6" w:rsidRPr="00342FC6" w:rsidRDefault="00342FC6" w:rsidP="00D6538F">
      <w:pPr>
        <w:pStyle w:val="PlainText"/>
        <w:ind w:left="567" w:hanging="567"/>
        <w:rPr>
          <w:rFonts w:cs="Arial"/>
          <w:szCs w:val="24"/>
        </w:rPr>
      </w:pPr>
    </w:p>
    <w:p w14:paraId="08F83919" w14:textId="603F0037" w:rsidR="00342FC6" w:rsidRPr="00342FC6" w:rsidRDefault="000D7310" w:rsidP="000D7310">
      <w:pPr>
        <w:pStyle w:val="PlainText"/>
        <w:ind w:left="720" w:hanging="720"/>
        <w:rPr>
          <w:rFonts w:cs="Arial"/>
          <w:szCs w:val="24"/>
        </w:rPr>
      </w:pPr>
      <w:r>
        <w:rPr>
          <w:rFonts w:cs="Arial"/>
          <w:szCs w:val="24"/>
        </w:rPr>
        <w:t>15.</w:t>
      </w:r>
      <w:r>
        <w:rPr>
          <w:rFonts w:cs="Arial"/>
          <w:szCs w:val="24"/>
        </w:rPr>
        <w:tab/>
      </w:r>
      <w:r w:rsidR="00342FC6" w:rsidRPr="00342FC6">
        <w:rPr>
          <w:rFonts w:cs="Arial"/>
          <w:szCs w:val="24"/>
        </w:rPr>
        <w:t xml:space="preserve">I have read the draft statutory guidance on Part 3 (section 18) of the UNCRC Act </w:t>
      </w:r>
    </w:p>
    <w:p w14:paraId="35B31DBE" w14:textId="77777777" w:rsidR="00342FC6" w:rsidRPr="00342FC6" w:rsidRDefault="00342FC6" w:rsidP="00D6538F">
      <w:pPr>
        <w:pStyle w:val="PlainText"/>
        <w:ind w:left="567" w:hanging="567"/>
        <w:rPr>
          <w:rFonts w:cs="Arial"/>
          <w:szCs w:val="24"/>
        </w:rPr>
      </w:pPr>
    </w:p>
    <w:p w14:paraId="3388DB90" w14:textId="77777777" w:rsidR="00342FC6" w:rsidRPr="00342FC6" w:rsidRDefault="00000000" w:rsidP="000D7310">
      <w:pPr>
        <w:pStyle w:val="PlainText"/>
        <w:ind w:left="1134" w:hanging="567"/>
        <w:rPr>
          <w:rFonts w:cs="Arial"/>
          <w:szCs w:val="24"/>
        </w:rPr>
      </w:pPr>
      <w:sdt>
        <w:sdtPr>
          <w:rPr>
            <w:rFonts w:cs="Arial"/>
            <w:szCs w:val="24"/>
          </w:rPr>
          <w:id w:val="1491054880"/>
          <w14:checkbox>
            <w14:checked w14:val="1"/>
            <w14:checkedState w14:val="2612" w14:font="MS Gothic"/>
            <w14:uncheckedState w14:val="2610" w14:font="MS Gothic"/>
          </w14:checkbox>
        </w:sdtPr>
        <w:sdtContent>
          <w:r w:rsidR="00342FC6" w:rsidRPr="00342FC6">
            <w:rPr>
              <w:rFonts w:ascii="Segoe UI Symbol" w:eastAsia="MS Gothic" w:hAnsi="Segoe UI Symbol" w:cs="Segoe UI Symbol"/>
              <w:szCs w:val="24"/>
            </w:rPr>
            <w:t>☒</w:t>
          </w:r>
        </w:sdtContent>
      </w:sdt>
      <w:r w:rsidR="00342FC6" w:rsidRPr="00342FC6">
        <w:rPr>
          <w:rFonts w:cs="Arial"/>
          <w:szCs w:val="24"/>
        </w:rPr>
        <w:t xml:space="preserve">Yes </w:t>
      </w:r>
    </w:p>
    <w:p w14:paraId="245BFF7A" w14:textId="77777777" w:rsidR="00342FC6" w:rsidRPr="00342FC6" w:rsidRDefault="00000000" w:rsidP="000D7310">
      <w:pPr>
        <w:pStyle w:val="PlainText"/>
        <w:ind w:left="1134" w:hanging="567"/>
        <w:rPr>
          <w:rFonts w:cs="Arial"/>
          <w:szCs w:val="24"/>
        </w:rPr>
      </w:pPr>
      <w:sdt>
        <w:sdtPr>
          <w:rPr>
            <w:rFonts w:cs="Arial"/>
            <w:szCs w:val="24"/>
          </w:rPr>
          <w:id w:val="-2061086897"/>
          <w14:checkbox>
            <w14:checked w14:val="0"/>
            <w14:checkedState w14:val="2612" w14:font="MS Gothic"/>
            <w14:uncheckedState w14:val="2610" w14:font="MS Gothic"/>
          </w14:checkbox>
        </w:sdtPr>
        <w:sdtContent>
          <w:r w:rsidR="00342FC6" w:rsidRPr="00342FC6">
            <w:rPr>
              <w:rFonts w:ascii="Segoe UI Symbol" w:eastAsia="MS Gothic" w:hAnsi="Segoe UI Symbol" w:cs="Segoe UI Symbol"/>
              <w:szCs w:val="24"/>
            </w:rPr>
            <w:t>☐</w:t>
          </w:r>
        </w:sdtContent>
      </w:sdt>
      <w:r w:rsidR="00342FC6" w:rsidRPr="00342FC6">
        <w:rPr>
          <w:rFonts w:cs="Arial"/>
          <w:szCs w:val="24"/>
        </w:rPr>
        <w:t>No</w:t>
      </w:r>
    </w:p>
    <w:p w14:paraId="7864AED4" w14:textId="77777777" w:rsidR="00342FC6" w:rsidRPr="00342FC6" w:rsidRDefault="00342FC6" w:rsidP="00D6538F">
      <w:pPr>
        <w:pStyle w:val="PlainText"/>
        <w:ind w:left="567" w:hanging="567"/>
        <w:rPr>
          <w:rFonts w:cs="Arial"/>
          <w:szCs w:val="24"/>
        </w:rPr>
      </w:pPr>
    </w:p>
    <w:p w14:paraId="4B225BA6" w14:textId="66343A8A" w:rsidR="00342FC6" w:rsidRPr="00342FC6" w:rsidRDefault="000D7310" w:rsidP="000D7310">
      <w:pPr>
        <w:pStyle w:val="PlainText"/>
        <w:ind w:left="720" w:hanging="720"/>
        <w:rPr>
          <w:rFonts w:cs="Arial"/>
          <w:szCs w:val="24"/>
        </w:rPr>
      </w:pPr>
      <w:r>
        <w:rPr>
          <w:rFonts w:cs="Arial"/>
          <w:szCs w:val="24"/>
        </w:rPr>
        <w:t>16.</w:t>
      </w:r>
      <w:r>
        <w:rPr>
          <w:rFonts w:cs="Arial"/>
          <w:szCs w:val="24"/>
        </w:rPr>
        <w:tab/>
      </w:r>
      <w:r w:rsidR="00342FC6" w:rsidRPr="00342FC6">
        <w:rPr>
          <w:rFonts w:cs="Arial"/>
          <w:szCs w:val="24"/>
        </w:rPr>
        <w:t>Section 4, ‘</w:t>
      </w:r>
      <w:r w:rsidR="00342FC6" w:rsidRPr="00342FC6">
        <w:rPr>
          <w:rFonts w:cs="Arial"/>
          <w:b/>
          <w:color w:val="000000" w:themeColor="text1"/>
          <w:szCs w:val="24"/>
        </w:rPr>
        <w:t>Reporting duties of listed authorities</w:t>
      </w:r>
      <w:proofErr w:type="gramStart"/>
      <w:r w:rsidR="00342FC6" w:rsidRPr="00342FC6">
        <w:rPr>
          <w:rFonts w:cs="Arial"/>
          <w:b/>
          <w:color w:val="000000" w:themeColor="text1"/>
          <w:szCs w:val="24"/>
        </w:rPr>
        <w:t>’</w:t>
      </w:r>
      <w:r w:rsidR="00342FC6" w:rsidRPr="00342FC6" w:rsidDel="002D32B6">
        <w:rPr>
          <w:rFonts w:cs="Arial"/>
          <w:szCs w:val="24"/>
        </w:rPr>
        <w:t xml:space="preserve"> </w:t>
      </w:r>
      <w:r w:rsidR="00342FC6" w:rsidRPr="00342FC6">
        <w:rPr>
          <w:rFonts w:cs="Arial"/>
          <w:szCs w:val="24"/>
        </w:rPr>
        <w:t xml:space="preserve"> is</w:t>
      </w:r>
      <w:proofErr w:type="gramEnd"/>
      <w:r w:rsidR="00342FC6" w:rsidRPr="00342FC6">
        <w:rPr>
          <w:rFonts w:cs="Arial"/>
          <w:szCs w:val="24"/>
        </w:rPr>
        <w:t xml:space="preserve"> sufficiently clear on the reporting requirements under Part 3 of the Act.</w:t>
      </w:r>
    </w:p>
    <w:p w14:paraId="0022C0FB" w14:textId="77777777" w:rsidR="00342FC6" w:rsidRPr="00342FC6" w:rsidRDefault="00342FC6" w:rsidP="00D6538F">
      <w:pPr>
        <w:pStyle w:val="PlainText"/>
        <w:ind w:left="567" w:hanging="567"/>
        <w:rPr>
          <w:rFonts w:cs="Arial"/>
          <w:szCs w:val="24"/>
        </w:rPr>
      </w:pPr>
    </w:p>
    <w:p w14:paraId="50521036" w14:textId="77777777" w:rsidR="00342FC6" w:rsidRPr="00342FC6" w:rsidRDefault="00000000" w:rsidP="000D7310">
      <w:pPr>
        <w:pStyle w:val="PlainText"/>
        <w:ind w:left="1287" w:hanging="567"/>
        <w:rPr>
          <w:rFonts w:cs="Arial"/>
          <w:szCs w:val="24"/>
        </w:rPr>
      </w:pPr>
      <w:sdt>
        <w:sdtPr>
          <w:rPr>
            <w:rFonts w:cs="Arial"/>
            <w:szCs w:val="24"/>
          </w:rPr>
          <w:id w:val="932254187"/>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7744B5D7" w14:textId="77777777" w:rsidR="00342FC6" w:rsidRPr="00342FC6" w:rsidRDefault="00000000" w:rsidP="000D7310">
      <w:pPr>
        <w:pStyle w:val="PlainText"/>
        <w:ind w:left="1287" w:hanging="567"/>
        <w:rPr>
          <w:rFonts w:cs="Arial"/>
          <w:szCs w:val="24"/>
        </w:rPr>
      </w:pPr>
      <w:sdt>
        <w:sdtPr>
          <w:rPr>
            <w:rFonts w:cs="Arial"/>
            <w:szCs w:val="24"/>
          </w:rPr>
          <w:id w:val="-1409993426"/>
          <w14:checkbox>
            <w14:checked w14:val="1"/>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Agree</w:t>
      </w:r>
    </w:p>
    <w:p w14:paraId="2200F99C" w14:textId="77777777" w:rsidR="00342FC6" w:rsidRPr="00342FC6" w:rsidRDefault="00000000" w:rsidP="000D7310">
      <w:pPr>
        <w:pStyle w:val="PlainText"/>
        <w:ind w:left="1287" w:hanging="567"/>
        <w:rPr>
          <w:rFonts w:cs="Arial"/>
          <w:szCs w:val="24"/>
        </w:rPr>
      </w:pPr>
      <w:sdt>
        <w:sdtPr>
          <w:rPr>
            <w:rFonts w:cs="Arial"/>
            <w:szCs w:val="24"/>
          </w:rPr>
          <w:id w:val="1748069395"/>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Neither agree nor disagree</w:t>
      </w:r>
    </w:p>
    <w:p w14:paraId="1A749CEE" w14:textId="77777777" w:rsidR="00342FC6" w:rsidRPr="00342FC6" w:rsidRDefault="00000000" w:rsidP="000D7310">
      <w:pPr>
        <w:pStyle w:val="PlainText"/>
        <w:ind w:left="1287" w:hanging="567"/>
        <w:rPr>
          <w:rFonts w:cs="Arial"/>
          <w:szCs w:val="24"/>
        </w:rPr>
      </w:pPr>
      <w:sdt>
        <w:sdtPr>
          <w:rPr>
            <w:rFonts w:cs="Arial"/>
            <w:szCs w:val="24"/>
          </w:rPr>
          <w:id w:val="1611700681"/>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Disagree</w:t>
      </w:r>
    </w:p>
    <w:p w14:paraId="06B52657" w14:textId="77777777" w:rsidR="00342FC6" w:rsidRPr="00342FC6" w:rsidRDefault="00000000" w:rsidP="000D7310">
      <w:pPr>
        <w:pStyle w:val="PlainText"/>
        <w:ind w:left="1287" w:hanging="567"/>
        <w:rPr>
          <w:rFonts w:cs="Arial"/>
          <w:szCs w:val="24"/>
        </w:rPr>
      </w:pPr>
      <w:sdt>
        <w:sdtPr>
          <w:rPr>
            <w:rFonts w:cs="Arial"/>
            <w:szCs w:val="24"/>
          </w:rPr>
          <w:id w:val="624662196"/>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6E8C7CD8" w14:textId="77777777" w:rsidR="00342FC6" w:rsidRDefault="00342FC6" w:rsidP="000D7310">
      <w:pPr>
        <w:ind w:left="1287" w:hanging="567"/>
        <w:rPr>
          <w:rFonts w:ascii="Arial" w:hAnsi="Arial" w:cs="Arial"/>
          <w:sz w:val="24"/>
          <w:szCs w:val="24"/>
        </w:rPr>
      </w:pPr>
    </w:p>
    <w:p w14:paraId="045DFAFD" w14:textId="77777777" w:rsidR="0060784C" w:rsidRPr="00342FC6" w:rsidRDefault="0060784C" w:rsidP="000D7310">
      <w:pPr>
        <w:pStyle w:val="ListParagraph"/>
        <w:rPr>
          <w:rFonts w:ascii="Arial" w:hAnsi="Arial" w:cs="Arial"/>
          <w:sz w:val="24"/>
          <w:szCs w:val="24"/>
        </w:rPr>
      </w:pPr>
      <w:r w:rsidRPr="00342FC6">
        <w:rPr>
          <w:rFonts w:ascii="Arial" w:hAnsi="Arial" w:cs="Arial"/>
          <w:sz w:val="24"/>
          <w:szCs w:val="24"/>
        </w:rPr>
        <w:t xml:space="preserve">This guidance will help public authorities fulfil their reporting duty and we particularly welcome that </w:t>
      </w:r>
      <w:proofErr w:type="gramStart"/>
      <w:r w:rsidRPr="00342FC6">
        <w:rPr>
          <w:rFonts w:ascii="Arial" w:hAnsi="Arial" w:cs="Arial"/>
          <w:sz w:val="24"/>
          <w:szCs w:val="24"/>
        </w:rPr>
        <w:t>it is clear that they</w:t>
      </w:r>
      <w:proofErr w:type="gramEnd"/>
      <w:r w:rsidRPr="00342FC6">
        <w:rPr>
          <w:rFonts w:ascii="Arial" w:hAnsi="Arial" w:cs="Arial"/>
          <w:sz w:val="24"/>
          <w:szCs w:val="24"/>
        </w:rPr>
        <w:t xml:space="preserve"> should report not only on what they have achieved in the past but their plans for the future. </w:t>
      </w:r>
    </w:p>
    <w:p w14:paraId="2472614D" w14:textId="77777777" w:rsidR="0060784C" w:rsidRPr="00342FC6" w:rsidRDefault="0060784C" w:rsidP="000D7310">
      <w:pPr>
        <w:pStyle w:val="ListParagraph"/>
        <w:rPr>
          <w:rFonts w:ascii="Arial" w:hAnsi="Arial" w:cs="Arial"/>
          <w:sz w:val="24"/>
          <w:szCs w:val="24"/>
        </w:rPr>
      </w:pPr>
    </w:p>
    <w:p w14:paraId="530B92F3" w14:textId="77777777" w:rsidR="0060784C" w:rsidRPr="00342FC6" w:rsidRDefault="0060784C" w:rsidP="000D7310">
      <w:pPr>
        <w:pStyle w:val="ListParagraph"/>
        <w:rPr>
          <w:rFonts w:ascii="Arial" w:hAnsi="Arial" w:cs="Arial"/>
          <w:sz w:val="24"/>
          <w:szCs w:val="24"/>
        </w:rPr>
      </w:pPr>
      <w:r w:rsidRPr="00342FC6">
        <w:rPr>
          <w:rFonts w:ascii="Arial" w:hAnsi="Arial" w:cs="Arial"/>
          <w:sz w:val="24"/>
          <w:szCs w:val="24"/>
        </w:rPr>
        <w:t>In terms of baseline information, we welcome the importance given to disaggregated data. We have been concerned that, at times, public authorities may restrict their gathering of disaggregated data due to a misunderstanding of the restrictions of the GDPR and would welcome further clarity on this, either in this guidance or elsewhere. Lack of disaggregated data was highlighted by the Committee on the Rights of the Child in their Concluding Observations to the UK in 2023 and they recommended “</w:t>
      </w:r>
      <w:r w:rsidRPr="00342FC6">
        <w:rPr>
          <w:rFonts w:ascii="Arial" w:hAnsi="Arial" w:cs="Arial"/>
          <w:sz w:val="24"/>
          <w:szCs w:val="24"/>
          <w:lang w:val="en"/>
        </w:rPr>
        <w:t xml:space="preserve">both qualitative and quantitative indicators to encompass all areas of the Convention and ensure that the data are disaggregated by age, sex, disability, geographical location, ethnic origin, nationality and socioeconomic background”. Our view is that this should be supplemented by additional categories, including but not limited to the Equality Act protected characteristics, for example care experience, young </w:t>
      </w:r>
      <w:proofErr w:type="gramStart"/>
      <w:r w:rsidRPr="00342FC6">
        <w:rPr>
          <w:rFonts w:ascii="Arial" w:hAnsi="Arial" w:cs="Arial"/>
          <w:sz w:val="24"/>
          <w:szCs w:val="24"/>
          <w:lang w:val="en"/>
        </w:rPr>
        <w:t>carers</w:t>
      </w:r>
      <w:proofErr w:type="gramEnd"/>
      <w:r w:rsidRPr="00342FC6">
        <w:rPr>
          <w:rFonts w:ascii="Arial" w:hAnsi="Arial" w:cs="Arial"/>
          <w:sz w:val="24"/>
          <w:szCs w:val="24"/>
          <w:lang w:val="en"/>
        </w:rPr>
        <w:t xml:space="preserve"> and children in armed forces families. </w:t>
      </w:r>
    </w:p>
    <w:p w14:paraId="7E115528" w14:textId="77777777" w:rsidR="0060784C" w:rsidRPr="00342FC6" w:rsidRDefault="0060784C" w:rsidP="000D7310">
      <w:pPr>
        <w:pStyle w:val="ListParagraph"/>
        <w:rPr>
          <w:rFonts w:ascii="Arial" w:hAnsi="Arial" w:cs="Arial"/>
          <w:sz w:val="24"/>
          <w:szCs w:val="24"/>
        </w:rPr>
      </w:pPr>
      <w:r w:rsidRPr="00342FC6">
        <w:rPr>
          <w:rFonts w:ascii="Arial" w:hAnsi="Arial" w:cs="Arial"/>
          <w:sz w:val="24"/>
          <w:szCs w:val="24"/>
        </w:rPr>
        <w:t xml:space="preserve">In section 4.3 we would welcome stronger language encouraging the participation of children and young people in the development of reports. While this is not explicitly required by the Act, fulfilling children’s right to participate when decisions are made about them extends, in our view, to decisions about how public authorities report when developing both their main and their child friendly report. </w:t>
      </w:r>
    </w:p>
    <w:p w14:paraId="79FCDA69" w14:textId="77777777" w:rsidR="0060784C" w:rsidRPr="00342FC6" w:rsidRDefault="0060784C" w:rsidP="000D7310">
      <w:pPr>
        <w:pStyle w:val="ListParagraph"/>
        <w:rPr>
          <w:rFonts w:ascii="Arial" w:hAnsi="Arial" w:cs="Arial"/>
          <w:sz w:val="24"/>
          <w:szCs w:val="24"/>
        </w:rPr>
      </w:pPr>
    </w:p>
    <w:p w14:paraId="7453EA26" w14:textId="77777777" w:rsidR="0060784C" w:rsidRPr="00342FC6" w:rsidRDefault="0060784C" w:rsidP="000D7310">
      <w:pPr>
        <w:pStyle w:val="ListParagraph"/>
        <w:rPr>
          <w:rFonts w:ascii="Arial" w:hAnsi="Arial" w:cs="Arial"/>
          <w:sz w:val="24"/>
          <w:szCs w:val="24"/>
        </w:rPr>
      </w:pPr>
      <w:r w:rsidRPr="00342FC6">
        <w:rPr>
          <w:rFonts w:ascii="Arial" w:hAnsi="Arial" w:cs="Arial"/>
          <w:sz w:val="24"/>
          <w:szCs w:val="24"/>
        </w:rPr>
        <w:t xml:space="preserve">In section 4.4 the draft guidance suggests that the wellbeing indicators could be used as part of preparation for reporting.  We have concerns about the appropriateness of this response, which we will elaborate on in our answer to Question 19 below. As the draft guidance itself says, the SHANARRI indicators do not satisfy all incorporated UNCRC articles. </w:t>
      </w:r>
    </w:p>
    <w:p w14:paraId="524AA552" w14:textId="77777777" w:rsidR="0060784C" w:rsidRPr="00342FC6" w:rsidRDefault="0060784C" w:rsidP="00D6538F">
      <w:pPr>
        <w:pStyle w:val="ListParagraph"/>
        <w:ind w:left="567" w:hanging="567"/>
        <w:rPr>
          <w:rFonts w:ascii="Arial" w:hAnsi="Arial" w:cs="Arial"/>
          <w:sz w:val="24"/>
          <w:szCs w:val="24"/>
        </w:rPr>
      </w:pPr>
    </w:p>
    <w:p w14:paraId="14B51BD3" w14:textId="77777777" w:rsidR="0060784C" w:rsidRPr="00342FC6" w:rsidRDefault="0060784C" w:rsidP="000D7310">
      <w:pPr>
        <w:pStyle w:val="ListParagraph"/>
        <w:rPr>
          <w:rFonts w:ascii="Arial" w:hAnsi="Arial" w:cs="Arial"/>
          <w:sz w:val="24"/>
          <w:szCs w:val="24"/>
        </w:rPr>
      </w:pPr>
      <w:r w:rsidRPr="00342FC6">
        <w:rPr>
          <w:rFonts w:ascii="Arial" w:hAnsi="Arial" w:cs="Arial"/>
          <w:sz w:val="24"/>
          <w:szCs w:val="24"/>
        </w:rPr>
        <w:t xml:space="preserve">In the section on Easy Read and Inclusive Communication, Article 19 of the UDHR is cited. The UDHR is not a binding international treating and in any case this right is included in Article 13 and 42 of the UNCRC. </w:t>
      </w:r>
    </w:p>
    <w:p w14:paraId="02F929C0" w14:textId="77777777" w:rsidR="0060784C" w:rsidRPr="00342FC6" w:rsidRDefault="0060784C" w:rsidP="000D7310">
      <w:pPr>
        <w:pStyle w:val="ListParagraph"/>
        <w:rPr>
          <w:rFonts w:ascii="Arial" w:hAnsi="Arial" w:cs="Arial"/>
          <w:sz w:val="24"/>
          <w:szCs w:val="24"/>
        </w:rPr>
      </w:pPr>
    </w:p>
    <w:p w14:paraId="77AB5EBA" w14:textId="2BC351CA" w:rsidR="0060784C" w:rsidRPr="00342FC6" w:rsidRDefault="0060784C" w:rsidP="000D7310">
      <w:pPr>
        <w:ind w:left="720"/>
        <w:rPr>
          <w:rFonts w:ascii="Arial" w:hAnsi="Arial" w:cs="Arial"/>
          <w:sz w:val="24"/>
          <w:szCs w:val="24"/>
        </w:rPr>
      </w:pPr>
      <w:r w:rsidRPr="00342FC6">
        <w:rPr>
          <w:rFonts w:ascii="Arial" w:hAnsi="Arial" w:cs="Arial"/>
          <w:sz w:val="24"/>
          <w:szCs w:val="24"/>
        </w:rPr>
        <w:t xml:space="preserve">We support the suggested approach of combined reporting suggested on page </w:t>
      </w:r>
      <w:proofErr w:type="gramStart"/>
      <w:r w:rsidRPr="00342FC6">
        <w:rPr>
          <w:rFonts w:ascii="Arial" w:hAnsi="Arial" w:cs="Arial"/>
          <w:sz w:val="24"/>
          <w:szCs w:val="24"/>
        </w:rPr>
        <w:t>11,</w:t>
      </w:r>
      <w:proofErr w:type="gramEnd"/>
      <w:r w:rsidRPr="00342FC6">
        <w:rPr>
          <w:rFonts w:ascii="Arial" w:hAnsi="Arial" w:cs="Arial"/>
          <w:sz w:val="24"/>
          <w:szCs w:val="24"/>
        </w:rPr>
        <w:t xml:space="preserve"> however it must be made clear that a combined report must meet the requirements of section 18(1)(a) and (b) (as noted in the final paragraph on page 11).  </w:t>
      </w:r>
    </w:p>
    <w:p w14:paraId="47C1E5A7" w14:textId="77777777" w:rsidR="00342FC6" w:rsidRPr="00342FC6" w:rsidRDefault="00342FC6" w:rsidP="00D6538F">
      <w:pPr>
        <w:pStyle w:val="PlainText"/>
        <w:ind w:left="567" w:hanging="567"/>
        <w:rPr>
          <w:rFonts w:cs="Arial"/>
          <w:szCs w:val="24"/>
        </w:rPr>
      </w:pPr>
    </w:p>
    <w:p w14:paraId="74940238" w14:textId="4DC8502C" w:rsidR="00342FC6" w:rsidRPr="00342FC6" w:rsidRDefault="000D7310" w:rsidP="000D7310">
      <w:pPr>
        <w:pStyle w:val="PlainText"/>
        <w:ind w:left="720" w:hanging="720"/>
        <w:rPr>
          <w:rFonts w:cs="Arial"/>
          <w:szCs w:val="24"/>
        </w:rPr>
      </w:pPr>
      <w:r>
        <w:rPr>
          <w:rFonts w:cs="Arial"/>
          <w:szCs w:val="24"/>
        </w:rPr>
        <w:lastRenderedPageBreak/>
        <w:t>17.</w:t>
      </w:r>
      <w:r>
        <w:rPr>
          <w:rFonts w:cs="Arial"/>
          <w:szCs w:val="24"/>
        </w:rPr>
        <w:tab/>
      </w:r>
      <w:r w:rsidR="00342FC6" w:rsidRPr="00342FC6">
        <w:rPr>
          <w:rFonts w:cs="Arial"/>
          <w:szCs w:val="24"/>
        </w:rPr>
        <w:t>Section 5, ‘</w:t>
      </w:r>
      <w:r w:rsidR="00342FC6" w:rsidRPr="00342FC6">
        <w:rPr>
          <w:rStyle w:val="eop"/>
          <w:rFonts w:cs="Arial"/>
          <w:b/>
          <w:color w:val="000000" w:themeColor="text1"/>
          <w:szCs w:val="24"/>
        </w:rPr>
        <w:t>Publication requirements of reports’</w:t>
      </w:r>
      <w:r w:rsidR="00342FC6" w:rsidRPr="00342FC6">
        <w:rPr>
          <w:rFonts w:cs="Arial"/>
          <w:szCs w:val="24"/>
        </w:rPr>
        <w:t xml:space="preserve"> is sufficiently clear on the publication requirements under Part 3 of the Act.</w:t>
      </w:r>
    </w:p>
    <w:p w14:paraId="6D261447" w14:textId="77777777" w:rsidR="00342FC6" w:rsidRPr="00342FC6" w:rsidRDefault="00342FC6" w:rsidP="00D6538F">
      <w:pPr>
        <w:pStyle w:val="PlainText"/>
        <w:ind w:left="567" w:hanging="567"/>
        <w:rPr>
          <w:rFonts w:cs="Arial"/>
          <w:szCs w:val="24"/>
        </w:rPr>
      </w:pPr>
    </w:p>
    <w:p w14:paraId="68E4E466" w14:textId="77777777" w:rsidR="00342FC6" w:rsidRPr="00342FC6" w:rsidRDefault="00000000" w:rsidP="000D7310">
      <w:pPr>
        <w:pStyle w:val="PlainText"/>
        <w:ind w:left="1287" w:hanging="567"/>
        <w:rPr>
          <w:rFonts w:cs="Arial"/>
          <w:szCs w:val="24"/>
        </w:rPr>
      </w:pPr>
      <w:sdt>
        <w:sdtPr>
          <w:rPr>
            <w:rFonts w:cs="Arial"/>
            <w:szCs w:val="24"/>
          </w:rPr>
          <w:id w:val="269588369"/>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301AF998" w14:textId="77777777" w:rsidR="00342FC6" w:rsidRPr="00342FC6" w:rsidRDefault="00000000" w:rsidP="000D7310">
      <w:pPr>
        <w:pStyle w:val="PlainText"/>
        <w:ind w:left="1287" w:hanging="567"/>
        <w:rPr>
          <w:rFonts w:cs="Arial"/>
          <w:szCs w:val="24"/>
        </w:rPr>
      </w:pPr>
      <w:sdt>
        <w:sdtPr>
          <w:rPr>
            <w:rFonts w:cs="Arial"/>
            <w:szCs w:val="24"/>
          </w:rPr>
          <w:id w:val="-338470016"/>
          <w14:checkbox>
            <w14:checked w14:val="1"/>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Agree</w:t>
      </w:r>
    </w:p>
    <w:p w14:paraId="15E5FC36" w14:textId="77777777" w:rsidR="00342FC6" w:rsidRPr="00342FC6" w:rsidRDefault="00000000" w:rsidP="000D7310">
      <w:pPr>
        <w:pStyle w:val="PlainText"/>
        <w:ind w:left="1287" w:hanging="567"/>
        <w:rPr>
          <w:rFonts w:cs="Arial"/>
          <w:szCs w:val="24"/>
        </w:rPr>
      </w:pPr>
      <w:sdt>
        <w:sdtPr>
          <w:rPr>
            <w:rFonts w:cs="Arial"/>
            <w:szCs w:val="24"/>
          </w:rPr>
          <w:id w:val="-1794427536"/>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Neither agree nor disagree</w:t>
      </w:r>
    </w:p>
    <w:p w14:paraId="33095BBD" w14:textId="77777777" w:rsidR="00342FC6" w:rsidRPr="00342FC6" w:rsidRDefault="00000000" w:rsidP="000D7310">
      <w:pPr>
        <w:pStyle w:val="PlainText"/>
        <w:ind w:left="1287" w:hanging="567"/>
        <w:rPr>
          <w:rFonts w:cs="Arial"/>
          <w:szCs w:val="24"/>
        </w:rPr>
      </w:pPr>
      <w:sdt>
        <w:sdtPr>
          <w:rPr>
            <w:rFonts w:cs="Arial"/>
            <w:szCs w:val="24"/>
          </w:rPr>
          <w:id w:val="1356617728"/>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Disagree</w:t>
      </w:r>
    </w:p>
    <w:p w14:paraId="09113D60" w14:textId="77777777" w:rsidR="00342FC6" w:rsidRPr="00342FC6" w:rsidRDefault="00000000" w:rsidP="000D7310">
      <w:pPr>
        <w:pStyle w:val="PlainText"/>
        <w:ind w:left="1287" w:hanging="567"/>
        <w:rPr>
          <w:rFonts w:cs="Arial"/>
          <w:szCs w:val="24"/>
        </w:rPr>
      </w:pPr>
      <w:sdt>
        <w:sdtPr>
          <w:rPr>
            <w:rFonts w:cs="Arial"/>
            <w:szCs w:val="24"/>
          </w:rPr>
          <w:id w:val="1389680268"/>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45322DA4" w14:textId="77777777" w:rsidR="0060784C" w:rsidRDefault="0060784C" w:rsidP="000D7310">
      <w:pPr>
        <w:pStyle w:val="ListParagraph"/>
        <w:rPr>
          <w:rFonts w:ascii="Arial" w:hAnsi="Arial" w:cs="Arial"/>
          <w:sz w:val="24"/>
          <w:szCs w:val="24"/>
        </w:rPr>
      </w:pPr>
    </w:p>
    <w:p w14:paraId="2BF09235" w14:textId="044AD0A0" w:rsidR="0060784C" w:rsidRPr="00342FC6" w:rsidRDefault="0060784C" w:rsidP="000D7310">
      <w:pPr>
        <w:pStyle w:val="ListParagraph"/>
        <w:rPr>
          <w:rFonts w:ascii="Arial" w:hAnsi="Arial" w:cs="Arial"/>
          <w:sz w:val="24"/>
          <w:szCs w:val="24"/>
        </w:rPr>
      </w:pPr>
      <w:r w:rsidRPr="00342FC6">
        <w:rPr>
          <w:rFonts w:ascii="Arial" w:hAnsi="Arial" w:cs="Arial"/>
          <w:sz w:val="24"/>
          <w:szCs w:val="24"/>
        </w:rPr>
        <w:t xml:space="preserve">We welcome the broad approach suggested for publication – these reports should be meaningful for and accessible to children and young people. We note that there is a requirement for a child-friendly version of the report which should address some of the issues in this suggestion. Sections 4 and 5 could, therefore, be revised to ensure there is not unintended confusion. We note that there is no mention of the possibility of making the report available in BSL and feel this would be a useful addition. </w:t>
      </w:r>
    </w:p>
    <w:p w14:paraId="2E523D56" w14:textId="77777777" w:rsidR="00342FC6" w:rsidRPr="00342FC6" w:rsidRDefault="00342FC6" w:rsidP="00D6538F">
      <w:pPr>
        <w:pStyle w:val="PlainText"/>
        <w:ind w:left="567" w:hanging="567"/>
        <w:rPr>
          <w:rFonts w:cs="Arial"/>
          <w:szCs w:val="24"/>
        </w:rPr>
      </w:pPr>
    </w:p>
    <w:p w14:paraId="2407E961" w14:textId="136A41B6" w:rsidR="00342FC6" w:rsidRPr="00342FC6" w:rsidRDefault="000D7310" w:rsidP="000D7310">
      <w:pPr>
        <w:pStyle w:val="PlainText"/>
        <w:ind w:left="720" w:hanging="720"/>
        <w:rPr>
          <w:rFonts w:cs="Arial"/>
          <w:szCs w:val="24"/>
        </w:rPr>
      </w:pPr>
      <w:r>
        <w:rPr>
          <w:rFonts w:cs="Arial"/>
          <w:szCs w:val="24"/>
        </w:rPr>
        <w:t>18.</w:t>
      </w:r>
      <w:r>
        <w:rPr>
          <w:rFonts w:cs="Arial"/>
          <w:szCs w:val="24"/>
        </w:rPr>
        <w:tab/>
      </w:r>
      <w:r w:rsidR="00342FC6" w:rsidRPr="00342FC6">
        <w:rPr>
          <w:rFonts w:cs="Arial"/>
          <w:szCs w:val="24"/>
        </w:rPr>
        <w:t>Section 6, ‘</w:t>
      </w:r>
      <w:r w:rsidR="00342FC6" w:rsidRPr="00342FC6">
        <w:rPr>
          <w:rFonts w:cs="Arial"/>
          <w:b/>
          <w:szCs w:val="24"/>
        </w:rPr>
        <w:t>Policy intention of children’s rights reports under section 18 of the Act</w:t>
      </w:r>
      <w:proofErr w:type="gramStart"/>
      <w:r w:rsidR="00342FC6" w:rsidRPr="00342FC6">
        <w:rPr>
          <w:rFonts w:cs="Arial"/>
          <w:b/>
          <w:szCs w:val="24"/>
        </w:rPr>
        <w:t xml:space="preserve">’, </w:t>
      </w:r>
      <w:r w:rsidR="00342FC6" w:rsidRPr="00342FC6">
        <w:rPr>
          <w:rFonts w:cs="Arial"/>
          <w:szCs w:val="24"/>
        </w:rPr>
        <w:t xml:space="preserve"> clearly</w:t>
      </w:r>
      <w:proofErr w:type="gramEnd"/>
      <w:r w:rsidR="00342FC6" w:rsidRPr="00342FC6">
        <w:rPr>
          <w:rFonts w:cs="Arial"/>
          <w:szCs w:val="24"/>
        </w:rPr>
        <w:t xml:space="preserve"> explains how the reporting process contributes to progressing children’s rights.</w:t>
      </w:r>
    </w:p>
    <w:p w14:paraId="5E90FF9C" w14:textId="77777777" w:rsidR="00342FC6" w:rsidRPr="00342FC6" w:rsidRDefault="00342FC6" w:rsidP="00D6538F">
      <w:pPr>
        <w:pStyle w:val="PlainText"/>
        <w:ind w:left="567" w:hanging="567"/>
        <w:rPr>
          <w:rFonts w:cs="Arial"/>
          <w:szCs w:val="24"/>
          <w:highlight w:val="yellow"/>
        </w:rPr>
      </w:pPr>
    </w:p>
    <w:p w14:paraId="7BAAE78C" w14:textId="77777777" w:rsidR="00342FC6" w:rsidRPr="00342FC6" w:rsidRDefault="00000000" w:rsidP="000D7310">
      <w:pPr>
        <w:pStyle w:val="PlainText"/>
        <w:ind w:left="1134" w:hanging="567"/>
        <w:rPr>
          <w:rFonts w:cs="Arial"/>
          <w:szCs w:val="24"/>
        </w:rPr>
      </w:pPr>
      <w:sdt>
        <w:sdtPr>
          <w:rPr>
            <w:rFonts w:cs="Arial"/>
            <w:szCs w:val="24"/>
          </w:rPr>
          <w:id w:val="-283114271"/>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6681EAEE" w14:textId="77777777" w:rsidR="00342FC6" w:rsidRPr="00342FC6" w:rsidRDefault="00000000" w:rsidP="000D7310">
      <w:pPr>
        <w:pStyle w:val="PlainText"/>
        <w:ind w:left="1134" w:hanging="567"/>
        <w:rPr>
          <w:rFonts w:cs="Arial"/>
          <w:szCs w:val="24"/>
        </w:rPr>
      </w:pPr>
      <w:sdt>
        <w:sdtPr>
          <w:rPr>
            <w:rFonts w:cs="Arial"/>
            <w:szCs w:val="24"/>
          </w:rPr>
          <w:id w:val="1900021747"/>
          <w14:checkbox>
            <w14:checked w14:val="1"/>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Agree</w:t>
      </w:r>
    </w:p>
    <w:p w14:paraId="211E9D15" w14:textId="77777777" w:rsidR="00342FC6" w:rsidRPr="00342FC6" w:rsidRDefault="00000000" w:rsidP="000D7310">
      <w:pPr>
        <w:pStyle w:val="PlainText"/>
        <w:ind w:left="1134" w:hanging="567"/>
        <w:rPr>
          <w:rFonts w:cs="Arial"/>
          <w:szCs w:val="24"/>
        </w:rPr>
      </w:pPr>
      <w:sdt>
        <w:sdtPr>
          <w:rPr>
            <w:rFonts w:cs="Arial"/>
            <w:szCs w:val="24"/>
          </w:rPr>
          <w:id w:val="806753441"/>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Neither agree nor disagree</w:t>
      </w:r>
    </w:p>
    <w:p w14:paraId="2E7CE255" w14:textId="77777777" w:rsidR="00342FC6" w:rsidRPr="00342FC6" w:rsidRDefault="00000000" w:rsidP="000D7310">
      <w:pPr>
        <w:pStyle w:val="PlainText"/>
        <w:ind w:left="1134" w:hanging="567"/>
        <w:rPr>
          <w:rFonts w:cs="Arial"/>
          <w:szCs w:val="24"/>
        </w:rPr>
      </w:pPr>
      <w:sdt>
        <w:sdtPr>
          <w:rPr>
            <w:rFonts w:cs="Arial"/>
            <w:szCs w:val="24"/>
          </w:rPr>
          <w:id w:val="-1316864414"/>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Disagree</w:t>
      </w:r>
    </w:p>
    <w:p w14:paraId="08039719" w14:textId="77777777" w:rsidR="00342FC6" w:rsidRPr="00342FC6" w:rsidRDefault="00000000" w:rsidP="000D7310">
      <w:pPr>
        <w:pStyle w:val="PlainText"/>
        <w:ind w:left="1134" w:hanging="567"/>
        <w:rPr>
          <w:rFonts w:cs="Arial"/>
          <w:szCs w:val="24"/>
        </w:rPr>
      </w:pPr>
      <w:sdt>
        <w:sdtPr>
          <w:rPr>
            <w:rFonts w:cs="Arial"/>
            <w:szCs w:val="24"/>
          </w:rPr>
          <w:id w:val="-1729067848"/>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0CC840C0" w14:textId="77777777" w:rsidR="00342FC6" w:rsidRPr="00342FC6" w:rsidRDefault="00342FC6" w:rsidP="00D6538F">
      <w:pPr>
        <w:pStyle w:val="PlainText"/>
        <w:ind w:left="567" w:hanging="567"/>
        <w:rPr>
          <w:rFonts w:cs="Arial"/>
          <w:szCs w:val="24"/>
        </w:rPr>
      </w:pPr>
    </w:p>
    <w:p w14:paraId="400449D9" w14:textId="1B7D7C30" w:rsidR="00342FC6" w:rsidRPr="000D7310" w:rsidRDefault="000D7310" w:rsidP="000D7310">
      <w:pPr>
        <w:spacing w:after="0" w:line="240" w:lineRule="auto"/>
        <w:rPr>
          <w:rFonts w:ascii="Arial" w:hAnsi="Arial" w:cs="Arial"/>
          <w:sz w:val="24"/>
          <w:szCs w:val="24"/>
        </w:rPr>
      </w:pPr>
      <w:r>
        <w:rPr>
          <w:rFonts w:ascii="Arial" w:hAnsi="Arial" w:cs="Arial"/>
          <w:sz w:val="24"/>
          <w:szCs w:val="24"/>
        </w:rPr>
        <w:t>19.</w:t>
      </w:r>
      <w:r>
        <w:rPr>
          <w:rFonts w:ascii="Arial" w:hAnsi="Arial" w:cs="Arial"/>
          <w:sz w:val="24"/>
          <w:szCs w:val="24"/>
        </w:rPr>
        <w:tab/>
      </w:r>
      <w:r w:rsidR="00342FC6" w:rsidRPr="000D7310">
        <w:rPr>
          <w:rFonts w:ascii="Arial" w:hAnsi="Arial" w:cs="Arial"/>
          <w:sz w:val="24"/>
          <w:szCs w:val="24"/>
        </w:rPr>
        <w:t xml:space="preserve">Annexes B.1 – B.4 </w:t>
      </w:r>
      <w:r w:rsidR="00342FC6" w:rsidRPr="000D7310">
        <w:rPr>
          <w:rStyle w:val="eop"/>
          <w:rFonts w:ascii="Arial" w:hAnsi="Arial" w:cs="Arial"/>
          <w:b/>
          <w:color w:val="000000" w:themeColor="text1"/>
          <w:sz w:val="24"/>
          <w:szCs w:val="24"/>
        </w:rPr>
        <w:t>Frameworks for children’s rights reporting</w:t>
      </w:r>
      <w:r w:rsidR="00342FC6" w:rsidRPr="000D7310">
        <w:rPr>
          <w:rFonts w:ascii="Arial" w:hAnsi="Arial" w:cs="Arial"/>
          <w:sz w:val="24"/>
          <w:szCs w:val="24"/>
        </w:rPr>
        <w:t xml:space="preserve"> are helpful. </w:t>
      </w:r>
    </w:p>
    <w:p w14:paraId="7F91E4DE" w14:textId="77777777" w:rsidR="00342FC6" w:rsidRPr="00342FC6" w:rsidRDefault="00342FC6" w:rsidP="00D6538F">
      <w:pPr>
        <w:pStyle w:val="PlainText"/>
        <w:ind w:left="567" w:hanging="567"/>
        <w:rPr>
          <w:rFonts w:cs="Arial"/>
          <w:szCs w:val="24"/>
        </w:rPr>
      </w:pPr>
    </w:p>
    <w:p w14:paraId="1B060D17" w14:textId="77777777" w:rsidR="00342FC6" w:rsidRPr="00342FC6" w:rsidRDefault="00000000" w:rsidP="000D7310">
      <w:pPr>
        <w:pStyle w:val="PlainText"/>
        <w:ind w:left="1134" w:hanging="567"/>
        <w:rPr>
          <w:rFonts w:cs="Arial"/>
          <w:szCs w:val="24"/>
        </w:rPr>
      </w:pPr>
      <w:sdt>
        <w:sdtPr>
          <w:rPr>
            <w:rFonts w:cs="Arial"/>
            <w:szCs w:val="24"/>
          </w:rPr>
          <w:id w:val="-8612087"/>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5230E952" w14:textId="77777777" w:rsidR="00342FC6" w:rsidRPr="00342FC6" w:rsidRDefault="00000000" w:rsidP="000D7310">
      <w:pPr>
        <w:pStyle w:val="PlainText"/>
        <w:ind w:left="1134" w:hanging="567"/>
        <w:rPr>
          <w:rFonts w:cs="Arial"/>
          <w:szCs w:val="24"/>
        </w:rPr>
      </w:pPr>
      <w:sdt>
        <w:sdtPr>
          <w:rPr>
            <w:rFonts w:cs="Arial"/>
            <w:szCs w:val="24"/>
          </w:rPr>
          <w:id w:val="-1667247731"/>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Agree</w:t>
      </w:r>
    </w:p>
    <w:p w14:paraId="3973D0F2" w14:textId="77777777" w:rsidR="00342FC6" w:rsidRPr="00342FC6" w:rsidRDefault="00000000" w:rsidP="000D7310">
      <w:pPr>
        <w:pStyle w:val="PlainText"/>
        <w:ind w:left="1134" w:hanging="567"/>
        <w:rPr>
          <w:rFonts w:cs="Arial"/>
          <w:szCs w:val="24"/>
        </w:rPr>
      </w:pPr>
      <w:sdt>
        <w:sdtPr>
          <w:rPr>
            <w:rFonts w:cs="Arial"/>
            <w:szCs w:val="24"/>
          </w:rPr>
          <w:id w:val="-2005582870"/>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Neither agree nor disagree</w:t>
      </w:r>
    </w:p>
    <w:p w14:paraId="2B23ABCE" w14:textId="77777777" w:rsidR="00342FC6" w:rsidRPr="00342FC6" w:rsidRDefault="00000000" w:rsidP="000D7310">
      <w:pPr>
        <w:pStyle w:val="PlainText"/>
        <w:ind w:left="1134" w:hanging="567"/>
        <w:rPr>
          <w:rFonts w:cs="Arial"/>
          <w:szCs w:val="24"/>
        </w:rPr>
      </w:pPr>
      <w:sdt>
        <w:sdtPr>
          <w:rPr>
            <w:rFonts w:cs="Arial"/>
            <w:szCs w:val="24"/>
          </w:rPr>
          <w:id w:val="-624005613"/>
          <w14:checkbox>
            <w14:checked w14:val="1"/>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Disagree</w:t>
      </w:r>
    </w:p>
    <w:p w14:paraId="1282DA27" w14:textId="77777777" w:rsidR="00342FC6" w:rsidRPr="00342FC6" w:rsidRDefault="00000000" w:rsidP="000D7310">
      <w:pPr>
        <w:pStyle w:val="PlainText"/>
        <w:ind w:left="1134" w:hanging="567"/>
        <w:rPr>
          <w:rFonts w:cs="Arial"/>
          <w:szCs w:val="24"/>
        </w:rPr>
      </w:pPr>
      <w:sdt>
        <w:sdtPr>
          <w:rPr>
            <w:rFonts w:cs="Arial"/>
            <w:szCs w:val="24"/>
          </w:rPr>
          <w:id w:val="383150444"/>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40F7B541" w14:textId="77777777" w:rsidR="00342FC6" w:rsidRDefault="00342FC6" w:rsidP="000D7310">
      <w:pPr>
        <w:ind w:left="567"/>
        <w:rPr>
          <w:rFonts w:ascii="Arial" w:hAnsi="Arial" w:cs="Arial"/>
          <w:sz w:val="24"/>
          <w:szCs w:val="24"/>
        </w:rPr>
      </w:pPr>
    </w:p>
    <w:p w14:paraId="38F9D0B0" w14:textId="77777777" w:rsidR="0060784C" w:rsidRPr="0060784C" w:rsidRDefault="0060784C" w:rsidP="000D7310">
      <w:pPr>
        <w:pStyle w:val="ListParagraph"/>
        <w:ind w:left="567"/>
        <w:rPr>
          <w:rFonts w:ascii="Arial" w:hAnsi="Arial" w:cs="Arial"/>
          <w:b/>
          <w:bCs/>
          <w:sz w:val="24"/>
          <w:szCs w:val="24"/>
        </w:rPr>
      </w:pPr>
      <w:r w:rsidRPr="0060784C">
        <w:rPr>
          <w:rFonts w:ascii="Arial" w:hAnsi="Arial" w:cs="Arial"/>
          <w:b/>
          <w:bCs/>
          <w:sz w:val="24"/>
          <w:szCs w:val="24"/>
        </w:rPr>
        <w:t>Frameworks for Children’s Rights Reporting</w:t>
      </w:r>
    </w:p>
    <w:p w14:paraId="62C7B8EA" w14:textId="77777777" w:rsidR="0060784C" w:rsidRPr="00342FC6" w:rsidRDefault="0060784C" w:rsidP="000D7310">
      <w:pPr>
        <w:pStyle w:val="ListParagraph"/>
        <w:ind w:left="567"/>
        <w:rPr>
          <w:rFonts w:ascii="Arial" w:hAnsi="Arial" w:cs="Arial"/>
          <w:sz w:val="24"/>
          <w:szCs w:val="24"/>
        </w:rPr>
      </w:pPr>
    </w:p>
    <w:p w14:paraId="230DE611" w14:textId="77777777" w:rsidR="0060784C" w:rsidRPr="00342FC6" w:rsidRDefault="0060784C" w:rsidP="000D7310">
      <w:pPr>
        <w:pStyle w:val="ListParagraph"/>
        <w:ind w:left="567"/>
        <w:rPr>
          <w:rFonts w:ascii="Arial" w:hAnsi="Arial" w:cs="Arial"/>
          <w:sz w:val="24"/>
          <w:szCs w:val="24"/>
        </w:rPr>
      </w:pPr>
      <w:r w:rsidRPr="00342FC6">
        <w:rPr>
          <w:rFonts w:ascii="Arial" w:hAnsi="Arial" w:cs="Arial"/>
          <w:sz w:val="24"/>
          <w:szCs w:val="24"/>
        </w:rPr>
        <w:t xml:space="preserve">We do not agree that the “Wellbeing approach: using the GIRFEC wellbeing indicators” is an appropriate framework for Children’s Rights reporting. </w:t>
      </w:r>
      <w:proofErr w:type="gramStart"/>
      <w:r w:rsidRPr="00342FC6">
        <w:rPr>
          <w:rFonts w:ascii="Arial" w:hAnsi="Arial" w:cs="Arial"/>
          <w:sz w:val="24"/>
          <w:szCs w:val="24"/>
        </w:rPr>
        <w:t>In particular, we</w:t>
      </w:r>
      <w:proofErr w:type="gramEnd"/>
      <w:r w:rsidRPr="00342FC6">
        <w:rPr>
          <w:rFonts w:ascii="Arial" w:hAnsi="Arial" w:cs="Arial"/>
          <w:sz w:val="24"/>
          <w:szCs w:val="24"/>
        </w:rPr>
        <w:t xml:space="preserve"> disagree that the SHANARRI indicators, which were developed to assess individual wellbeing, would be useful in analysing the ways in which a public authority does or does not meet the duties contained within the UNCRC. It would mean attempting to put an individual lens on what should be a holistic strategy. </w:t>
      </w:r>
    </w:p>
    <w:p w14:paraId="673FD3B8" w14:textId="77777777" w:rsidR="0060784C" w:rsidRPr="00342FC6" w:rsidRDefault="0060784C" w:rsidP="000D7310">
      <w:pPr>
        <w:pStyle w:val="ListParagraph"/>
        <w:ind w:left="567"/>
        <w:rPr>
          <w:rFonts w:ascii="Arial" w:hAnsi="Arial" w:cs="Arial"/>
          <w:sz w:val="24"/>
          <w:szCs w:val="24"/>
        </w:rPr>
      </w:pPr>
    </w:p>
    <w:p w14:paraId="16AA26DE" w14:textId="77777777" w:rsidR="0060784C" w:rsidRPr="00342FC6" w:rsidRDefault="0060784C" w:rsidP="000D7310">
      <w:pPr>
        <w:pStyle w:val="ListParagraph"/>
        <w:ind w:left="567"/>
        <w:rPr>
          <w:rFonts w:ascii="Arial" w:hAnsi="Arial" w:cs="Arial"/>
          <w:sz w:val="24"/>
          <w:szCs w:val="24"/>
        </w:rPr>
      </w:pPr>
      <w:r w:rsidRPr="00342FC6">
        <w:rPr>
          <w:rFonts w:ascii="Arial" w:hAnsi="Arial" w:cs="Arial"/>
          <w:sz w:val="24"/>
          <w:szCs w:val="24"/>
        </w:rPr>
        <w:lastRenderedPageBreak/>
        <w:t xml:space="preserve">We are particularly concerned that the diagram on page 28 continues to be used </w:t>
      </w:r>
      <w:proofErr w:type="gramStart"/>
      <w:r w:rsidRPr="00342FC6">
        <w:rPr>
          <w:rFonts w:ascii="Arial" w:hAnsi="Arial" w:cs="Arial"/>
          <w:sz w:val="24"/>
          <w:szCs w:val="24"/>
        </w:rPr>
        <w:t>in an attempt to</w:t>
      </w:r>
      <w:proofErr w:type="gramEnd"/>
      <w:r w:rsidRPr="00342FC6">
        <w:rPr>
          <w:rFonts w:ascii="Arial" w:hAnsi="Arial" w:cs="Arial"/>
          <w:sz w:val="24"/>
          <w:szCs w:val="24"/>
        </w:rPr>
        <w:t xml:space="preserve"> link the rights contained within the UNCRC to the SHANARRI indicators and Four Capacities. This is an artificial construct and at odds with an understanding of rights as universal, indivisible, interrelated, interdependent and mutually reinforcing. And notably, both SHANARRI and the Four Capacities refer to children as having responsibilities but not rights. This undermines the important principle that rights are inalienable and available to all children. </w:t>
      </w:r>
    </w:p>
    <w:p w14:paraId="18A1D124" w14:textId="77777777" w:rsidR="0060784C" w:rsidRPr="00342FC6" w:rsidRDefault="0060784C" w:rsidP="000D7310">
      <w:pPr>
        <w:pStyle w:val="ListParagraph"/>
        <w:ind w:left="567"/>
        <w:rPr>
          <w:rFonts w:ascii="Arial" w:hAnsi="Arial" w:cs="Arial"/>
          <w:sz w:val="24"/>
          <w:szCs w:val="24"/>
        </w:rPr>
      </w:pPr>
    </w:p>
    <w:p w14:paraId="12E1184A" w14:textId="77777777" w:rsidR="0060784C" w:rsidRPr="00342FC6" w:rsidRDefault="0060784C" w:rsidP="000D7310">
      <w:pPr>
        <w:pStyle w:val="ListParagraph"/>
        <w:ind w:left="567"/>
        <w:rPr>
          <w:rFonts w:ascii="Arial" w:hAnsi="Arial" w:cs="Arial"/>
          <w:sz w:val="24"/>
          <w:szCs w:val="24"/>
        </w:rPr>
      </w:pPr>
      <w:r w:rsidRPr="00342FC6">
        <w:rPr>
          <w:rFonts w:ascii="Arial" w:hAnsi="Arial" w:cs="Arial"/>
          <w:sz w:val="24"/>
          <w:szCs w:val="24"/>
        </w:rPr>
        <w:t xml:space="preserve">The wellbeing approach is simply inappropriate for reporting on fulfilment of children’s rights. </w:t>
      </w:r>
    </w:p>
    <w:p w14:paraId="606D89ED" w14:textId="77777777" w:rsidR="0060784C" w:rsidRPr="00342FC6" w:rsidRDefault="0060784C" w:rsidP="000D7310">
      <w:pPr>
        <w:pStyle w:val="ListParagraph"/>
        <w:ind w:left="567"/>
        <w:rPr>
          <w:rFonts w:ascii="Arial" w:hAnsi="Arial" w:cs="Arial"/>
          <w:sz w:val="24"/>
          <w:szCs w:val="24"/>
        </w:rPr>
      </w:pPr>
    </w:p>
    <w:p w14:paraId="65512808" w14:textId="77777777" w:rsidR="0060784C" w:rsidRPr="0060784C" w:rsidRDefault="0060784C" w:rsidP="000D7310">
      <w:pPr>
        <w:pStyle w:val="ListParagraph"/>
        <w:ind w:left="567"/>
        <w:rPr>
          <w:rFonts w:ascii="Arial" w:hAnsi="Arial" w:cs="Arial"/>
          <w:b/>
          <w:bCs/>
          <w:sz w:val="24"/>
          <w:szCs w:val="24"/>
        </w:rPr>
      </w:pPr>
      <w:r w:rsidRPr="0060784C">
        <w:rPr>
          <w:rFonts w:ascii="Arial" w:hAnsi="Arial" w:cs="Arial"/>
          <w:b/>
          <w:bCs/>
          <w:sz w:val="24"/>
          <w:szCs w:val="24"/>
        </w:rPr>
        <w:t xml:space="preserve">Cluster </w:t>
      </w:r>
      <w:proofErr w:type="gramStart"/>
      <w:r w:rsidRPr="0060784C">
        <w:rPr>
          <w:rFonts w:ascii="Arial" w:hAnsi="Arial" w:cs="Arial"/>
          <w:b/>
          <w:bCs/>
          <w:sz w:val="24"/>
          <w:szCs w:val="24"/>
        </w:rPr>
        <w:t>model</w:t>
      </w:r>
      <w:proofErr w:type="gramEnd"/>
    </w:p>
    <w:p w14:paraId="75799A10" w14:textId="77777777" w:rsidR="0060784C" w:rsidRPr="00342FC6" w:rsidRDefault="0060784C" w:rsidP="000D7310">
      <w:pPr>
        <w:pStyle w:val="ListParagraph"/>
        <w:ind w:left="567"/>
        <w:rPr>
          <w:rFonts w:ascii="Arial" w:hAnsi="Arial" w:cs="Arial"/>
          <w:sz w:val="24"/>
          <w:szCs w:val="24"/>
        </w:rPr>
      </w:pPr>
    </w:p>
    <w:p w14:paraId="55184BE0" w14:textId="77777777" w:rsidR="0060784C" w:rsidRPr="00342FC6" w:rsidRDefault="0060784C" w:rsidP="000D7310">
      <w:pPr>
        <w:pStyle w:val="ListParagraph"/>
        <w:ind w:left="567"/>
        <w:rPr>
          <w:rFonts w:ascii="Arial" w:hAnsi="Arial" w:cs="Arial"/>
          <w:sz w:val="24"/>
          <w:szCs w:val="24"/>
        </w:rPr>
      </w:pPr>
      <w:r w:rsidRPr="00342FC6">
        <w:rPr>
          <w:rFonts w:ascii="Arial" w:hAnsi="Arial" w:cs="Arial"/>
          <w:sz w:val="24"/>
          <w:szCs w:val="24"/>
        </w:rPr>
        <w:t xml:space="preserve">We support this internationally recognised model which closely links to individual articles of the UNCRC whilst providing broad themes to organise the report. However, we feel some of the example statements may stray too far from the meaning of each Article. In particular, the reference to Article 6 on page 25 is vague and, as the only mention of Article 6, does not reference the right to life. The example for Article 5 on page 26 seems to lack a full understand of the concept of evolving capacities, which provide for children to be supported to make their own decisions, in line with their evolving capacities. The Article 9 example on the same page includes aspects of Article 12, already covered, so might be better phrased as “Children who are looked after have access to the services they need and are supported to maintain contact with their family” which incorporates Article 9(3).  </w:t>
      </w:r>
    </w:p>
    <w:p w14:paraId="2023B827" w14:textId="77777777" w:rsidR="0060784C" w:rsidRPr="00342FC6" w:rsidRDefault="0060784C" w:rsidP="000D7310">
      <w:pPr>
        <w:pStyle w:val="ListParagraph"/>
        <w:ind w:left="567"/>
        <w:rPr>
          <w:rFonts w:ascii="Arial" w:hAnsi="Arial" w:cs="Arial"/>
          <w:sz w:val="24"/>
          <w:szCs w:val="24"/>
        </w:rPr>
      </w:pPr>
    </w:p>
    <w:p w14:paraId="155C799A" w14:textId="77777777" w:rsidR="0060784C" w:rsidRPr="00342FC6" w:rsidRDefault="0060784C" w:rsidP="000D7310">
      <w:pPr>
        <w:pStyle w:val="ListParagraph"/>
        <w:ind w:left="567"/>
        <w:rPr>
          <w:rFonts w:ascii="Arial" w:hAnsi="Arial" w:cs="Arial"/>
          <w:sz w:val="24"/>
          <w:szCs w:val="24"/>
        </w:rPr>
      </w:pPr>
      <w:r w:rsidRPr="00342FC6">
        <w:rPr>
          <w:rFonts w:ascii="Arial" w:hAnsi="Arial" w:cs="Arial"/>
          <w:sz w:val="24"/>
          <w:szCs w:val="24"/>
        </w:rPr>
        <w:t xml:space="preserve">The second example for Article 18 on page 26 is, in fact, an example for Article 20 and the one marked as </w:t>
      </w:r>
      <w:proofErr w:type="gramStart"/>
      <w:r w:rsidRPr="00342FC6">
        <w:rPr>
          <w:rFonts w:ascii="Arial" w:hAnsi="Arial" w:cs="Arial"/>
          <w:sz w:val="24"/>
          <w:szCs w:val="24"/>
        </w:rPr>
        <w:t>Article</w:t>
      </w:r>
      <w:proofErr w:type="gramEnd"/>
      <w:r w:rsidRPr="00342FC6">
        <w:rPr>
          <w:rFonts w:ascii="Arial" w:hAnsi="Arial" w:cs="Arial"/>
          <w:sz w:val="24"/>
          <w:szCs w:val="24"/>
        </w:rPr>
        <w:t xml:space="preserve"> 6 and 23 should read 2 and 23. </w:t>
      </w:r>
    </w:p>
    <w:p w14:paraId="17B1BCB9" w14:textId="77777777" w:rsidR="0060784C" w:rsidRPr="00342FC6" w:rsidRDefault="0060784C" w:rsidP="000D7310">
      <w:pPr>
        <w:pStyle w:val="ListParagraph"/>
        <w:ind w:left="567"/>
        <w:rPr>
          <w:rFonts w:ascii="Arial" w:hAnsi="Arial" w:cs="Arial"/>
          <w:sz w:val="24"/>
          <w:szCs w:val="24"/>
        </w:rPr>
      </w:pPr>
    </w:p>
    <w:p w14:paraId="18A1CC64" w14:textId="77777777" w:rsidR="0060784C" w:rsidRPr="00342FC6" w:rsidRDefault="0060784C" w:rsidP="000D7310">
      <w:pPr>
        <w:pStyle w:val="ListParagraph"/>
        <w:ind w:left="567"/>
        <w:rPr>
          <w:rFonts w:ascii="Arial" w:hAnsi="Arial" w:cs="Arial"/>
          <w:sz w:val="24"/>
          <w:szCs w:val="24"/>
        </w:rPr>
      </w:pPr>
      <w:r w:rsidRPr="00342FC6">
        <w:rPr>
          <w:rFonts w:ascii="Arial" w:hAnsi="Arial" w:cs="Arial"/>
          <w:sz w:val="24"/>
          <w:szCs w:val="24"/>
        </w:rPr>
        <w:t xml:space="preserve">Once again, Article 12 is expressed in terms of “voice of the child”. This not only fails to reflect the full understanding of Article 12 outlined in General Comment 12, but also the experiences of children who use BSL, or who are non-speaking or non-verbal. </w:t>
      </w:r>
    </w:p>
    <w:p w14:paraId="09BA426E" w14:textId="77777777" w:rsidR="00342FC6" w:rsidRPr="00342FC6" w:rsidRDefault="00342FC6" w:rsidP="00D6538F">
      <w:pPr>
        <w:pStyle w:val="PlainText"/>
        <w:ind w:left="567" w:hanging="567"/>
        <w:rPr>
          <w:rFonts w:cs="Arial"/>
          <w:szCs w:val="24"/>
        </w:rPr>
      </w:pPr>
    </w:p>
    <w:p w14:paraId="49933B1F" w14:textId="3320932D" w:rsidR="00342FC6" w:rsidRPr="00342FC6" w:rsidRDefault="000D7310" w:rsidP="000D7310">
      <w:pPr>
        <w:pStyle w:val="PlainText"/>
        <w:rPr>
          <w:rFonts w:cs="Arial"/>
          <w:szCs w:val="24"/>
        </w:rPr>
      </w:pPr>
      <w:r>
        <w:rPr>
          <w:rFonts w:cs="Arial"/>
          <w:szCs w:val="24"/>
        </w:rPr>
        <w:t>20</w:t>
      </w:r>
      <w:r>
        <w:rPr>
          <w:rFonts w:cs="Arial"/>
          <w:szCs w:val="24"/>
        </w:rPr>
        <w:tab/>
      </w:r>
      <w:r w:rsidR="00342FC6" w:rsidRPr="00342FC6">
        <w:rPr>
          <w:rFonts w:cs="Arial"/>
          <w:szCs w:val="24"/>
        </w:rPr>
        <w:t>Annex C, ‘</w:t>
      </w:r>
      <w:r w:rsidR="00342FC6" w:rsidRPr="00342FC6">
        <w:rPr>
          <w:rStyle w:val="normaltextrun"/>
          <w:rFonts w:cs="Arial"/>
          <w:b/>
          <w:bCs/>
          <w:color w:val="000000" w:themeColor="text1"/>
          <w:szCs w:val="24"/>
        </w:rPr>
        <w:t>Scottish Government use of children’s right’s reports</w:t>
      </w:r>
      <w:r w:rsidR="00342FC6" w:rsidRPr="00342FC6">
        <w:rPr>
          <w:rStyle w:val="normaltextrun"/>
          <w:rFonts w:cs="Arial"/>
          <w:color w:val="000000" w:themeColor="text1"/>
          <w:szCs w:val="24"/>
        </w:rPr>
        <w:t>’,</w:t>
      </w:r>
      <w:r w:rsidR="00342FC6" w:rsidRPr="00342FC6">
        <w:rPr>
          <w:rStyle w:val="normaltextrun"/>
          <w:rFonts w:cs="Arial"/>
          <w:b/>
          <w:bCs/>
          <w:color w:val="000000" w:themeColor="text1"/>
          <w:szCs w:val="24"/>
        </w:rPr>
        <w:t xml:space="preserve"> </w:t>
      </w:r>
      <w:r w:rsidR="00342FC6" w:rsidRPr="00342FC6">
        <w:rPr>
          <w:rFonts w:cs="Arial"/>
          <w:szCs w:val="24"/>
        </w:rPr>
        <w:t xml:space="preserve">is clear. </w:t>
      </w:r>
    </w:p>
    <w:p w14:paraId="304FE0D7" w14:textId="77777777" w:rsidR="00342FC6" w:rsidRPr="00342FC6" w:rsidRDefault="00342FC6" w:rsidP="00D6538F">
      <w:pPr>
        <w:pStyle w:val="ListParagraph"/>
        <w:ind w:left="567" w:hanging="567"/>
        <w:rPr>
          <w:rFonts w:ascii="Arial" w:hAnsi="Arial" w:cs="Arial"/>
          <w:sz w:val="24"/>
          <w:szCs w:val="24"/>
        </w:rPr>
      </w:pPr>
    </w:p>
    <w:p w14:paraId="03716403" w14:textId="77777777" w:rsidR="00342FC6" w:rsidRPr="00342FC6" w:rsidRDefault="00000000" w:rsidP="000D7310">
      <w:pPr>
        <w:pStyle w:val="PlainText"/>
        <w:ind w:left="1134" w:hanging="567"/>
        <w:rPr>
          <w:rFonts w:cs="Arial"/>
          <w:szCs w:val="24"/>
        </w:rPr>
      </w:pPr>
      <w:sdt>
        <w:sdtPr>
          <w:rPr>
            <w:rFonts w:cs="Arial"/>
            <w:szCs w:val="24"/>
          </w:rPr>
          <w:id w:val="-1093865998"/>
          <w14:checkbox>
            <w14:checked w14:val="0"/>
            <w14:checkedState w14:val="2612" w14:font="MS Gothic"/>
            <w14:uncheckedState w14:val="2610" w14:font="MS Gothic"/>
          </w14:checkbox>
        </w:sdtPr>
        <w:sdtContent>
          <w:r w:rsidR="00342FC6" w:rsidRPr="00342FC6">
            <w:rPr>
              <w:rFonts w:ascii="Segoe UI Symbol" w:eastAsia="MS Gothic"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30167AA4" w14:textId="77777777" w:rsidR="00342FC6" w:rsidRPr="00342FC6" w:rsidRDefault="00000000" w:rsidP="000D7310">
      <w:pPr>
        <w:pStyle w:val="PlainText"/>
        <w:ind w:left="1134" w:hanging="567"/>
        <w:rPr>
          <w:rFonts w:cs="Arial"/>
          <w:szCs w:val="24"/>
        </w:rPr>
      </w:pPr>
      <w:sdt>
        <w:sdtPr>
          <w:rPr>
            <w:rFonts w:cs="Arial"/>
            <w:szCs w:val="24"/>
          </w:rPr>
          <w:id w:val="-981151504"/>
          <w14:checkbox>
            <w14:checked w14:val="1"/>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Agree</w:t>
      </w:r>
    </w:p>
    <w:p w14:paraId="696BBE37" w14:textId="77777777" w:rsidR="00342FC6" w:rsidRPr="00342FC6" w:rsidRDefault="00000000" w:rsidP="000D7310">
      <w:pPr>
        <w:pStyle w:val="PlainText"/>
        <w:ind w:left="1134" w:hanging="567"/>
        <w:rPr>
          <w:rFonts w:cs="Arial"/>
          <w:szCs w:val="24"/>
        </w:rPr>
      </w:pPr>
      <w:sdt>
        <w:sdtPr>
          <w:rPr>
            <w:rFonts w:cs="Arial"/>
            <w:szCs w:val="24"/>
          </w:rPr>
          <w:id w:val="-93015886"/>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Neither agree nor disagree</w:t>
      </w:r>
    </w:p>
    <w:p w14:paraId="656D3F9C" w14:textId="77777777" w:rsidR="00342FC6" w:rsidRPr="00342FC6" w:rsidRDefault="00000000" w:rsidP="000D7310">
      <w:pPr>
        <w:pStyle w:val="PlainText"/>
        <w:ind w:left="1134" w:hanging="567"/>
        <w:rPr>
          <w:rFonts w:cs="Arial"/>
          <w:szCs w:val="24"/>
        </w:rPr>
      </w:pPr>
      <w:sdt>
        <w:sdtPr>
          <w:rPr>
            <w:rFonts w:cs="Arial"/>
            <w:szCs w:val="24"/>
          </w:rPr>
          <w:id w:val="316623216"/>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Disagree</w:t>
      </w:r>
    </w:p>
    <w:p w14:paraId="2B2E38A3" w14:textId="77777777" w:rsidR="00342FC6" w:rsidRPr="00342FC6" w:rsidRDefault="00000000" w:rsidP="000D7310">
      <w:pPr>
        <w:pStyle w:val="PlainText"/>
        <w:ind w:left="1134" w:hanging="567"/>
        <w:rPr>
          <w:rFonts w:cs="Arial"/>
          <w:szCs w:val="24"/>
        </w:rPr>
      </w:pPr>
      <w:sdt>
        <w:sdtPr>
          <w:rPr>
            <w:rFonts w:cs="Arial"/>
            <w:szCs w:val="24"/>
          </w:rPr>
          <w:id w:val="-1406757845"/>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273F8D73" w14:textId="77777777" w:rsidR="00342FC6" w:rsidRPr="00342FC6" w:rsidRDefault="00342FC6" w:rsidP="00D6538F">
      <w:pPr>
        <w:ind w:left="567" w:hanging="567"/>
        <w:rPr>
          <w:rFonts w:ascii="Arial" w:hAnsi="Arial" w:cs="Arial"/>
          <w:sz w:val="24"/>
          <w:szCs w:val="24"/>
        </w:rPr>
      </w:pPr>
    </w:p>
    <w:p w14:paraId="4C222C26" w14:textId="77777777" w:rsidR="00342FC6" w:rsidRPr="00342FC6" w:rsidRDefault="00342FC6" w:rsidP="00D6538F">
      <w:pPr>
        <w:pStyle w:val="PlainText"/>
        <w:ind w:left="567" w:hanging="567"/>
        <w:rPr>
          <w:rFonts w:cs="Arial"/>
          <w:szCs w:val="24"/>
        </w:rPr>
      </w:pPr>
    </w:p>
    <w:p w14:paraId="5604908F" w14:textId="0FF80184" w:rsidR="00342FC6" w:rsidRPr="00342FC6" w:rsidRDefault="000D7310" w:rsidP="000D7310">
      <w:pPr>
        <w:pStyle w:val="PlainText"/>
        <w:ind w:left="720" w:hanging="720"/>
        <w:rPr>
          <w:rFonts w:cs="Arial"/>
          <w:szCs w:val="24"/>
        </w:rPr>
      </w:pPr>
      <w:r>
        <w:rPr>
          <w:rFonts w:cs="Arial"/>
          <w:szCs w:val="24"/>
        </w:rPr>
        <w:lastRenderedPageBreak/>
        <w:t>21.</w:t>
      </w:r>
      <w:r>
        <w:rPr>
          <w:rFonts w:cs="Arial"/>
          <w:szCs w:val="24"/>
        </w:rPr>
        <w:tab/>
      </w:r>
      <w:r w:rsidR="00342FC6" w:rsidRPr="00342FC6">
        <w:rPr>
          <w:rFonts w:cs="Arial"/>
          <w:szCs w:val="24"/>
        </w:rPr>
        <w:t>The guidance is presented in an accessible manner, e.g. the style, length and content are useful in aiding implementation of duties in respect of the Act.</w:t>
      </w:r>
    </w:p>
    <w:p w14:paraId="082AA73A" w14:textId="77777777" w:rsidR="00342FC6" w:rsidRPr="00342FC6" w:rsidRDefault="00342FC6" w:rsidP="00D6538F">
      <w:pPr>
        <w:pStyle w:val="PlainText"/>
        <w:ind w:left="567" w:hanging="567"/>
        <w:rPr>
          <w:rFonts w:cs="Arial"/>
          <w:szCs w:val="24"/>
        </w:rPr>
      </w:pPr>
    </w:p>
    <w:p w14:paraId="675E1769" w14:textId="77777777" w:rsidR="00342FC6" w:rsidRPr="00342FC6" w:rsidRDefault="00000000" w:rsidP="000D7310">
      <w:pPr>
        <w:pStyle w:val="PlainText"/>
        <w:ind w:left="1134" w:hanging="567"/>
        <w:rPr>
          <w:rFonts w:cs="Arial"/>
          <w:szCs w:val="24"/>
        </w:rPr>
      </w:pPr>
      <w:sdt>
        <w:sdtPr>
          <w:rPr>
            <w:rFonts w:cs="Arial"/>
            <w:szCs w:val="24"/>
          </w:rPr>
          <w:id w:val="228662935"/>
          <w14:checkbox>
            <w14:checked w14:val="0"/>
            <w14:checkedState w14:val="2612" w14:font="MS Gothic"/>
            <w14:uncheckedState w14:val="2610" w14:font="MS Gothic"/>
          </w14:checkbox>
        </w:sdtPr>
        <w:sdtContent>
          <w:r w:rsidR="00342FC6" w:rsidRPr="00342FC6">
            <w:rPr>
              <w:rFonts w:ascii="Segoe UI Symbol" w:eastAsia="MS Gothic"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agree</w:t>
      </w:r>
      <w:proofErr w:type="gramEnd"/>
    </w:p>
    <w:p w14:paraId="1FB511F4" w14:textId="77777777" w:rsidR="00342FC6" w:rsidRPr="00342FC6" w:rsidRDefault="00000000" w:rsidP="000D7310">
      <w:pPr>
        <w:pStyle w:val="PlainText"/>
        <w:ind w:left="1134" w:hanging="567"/>
        <w:rPr>
          <w:rFonts w:cs="Arial"/>
          <w:szCs w:val="24"/>
        </w:rPr>
      </w:pPr>
      <w:sdt>
        <w:sdtPr>
          <w:rPr>
            <w:rFonts w:cs="Arial"/>
            <w:szCs w:val="24"/>
          </w:rPr>
          <w:id w:val="-626008640"/>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Agree</w:t>
      </w:r>
    </w:p>
    <w:p w14:paraId="007E8C52" w14:textId="77777777" w:rsidR="00342FC6" w:rsidRPr="00342FC6" w:rsidRDefault="00000000" w:rsidP="000D7310">
      <w:pPr>
        <w:pStyle w:val="PlainText"/>
        <w:ind w:left="1134" w:hanging="567"/>
        <w:rPr>
          <w:rFonts w:cs="Arial"/>
          <w:szCs w:val="24"/>
        </w:rPr>
      </w:pPr>
      <w:sdt>
        <w:sdtPr>
          <w:rPr>
            <w:rFonts w:cs="Arial"/>
            <w:szCs w:val="24"/>
          </w:rPr>
          <w:id w:val="-659625072"/>
          <w14:checkbox>
            <w14:checked w14:val="1"/>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Neither agree nor disagree</w:t>
      </w:r>
    </w:p>
    <w:p w14:paraId="11D9CEA1" w14:textId="77777777" w:rsidR="00342FC6" w:rsidRPr="00342FC6" w:rsidRDefault="00000000" w:rsidP="000D7310">
      <w:pPr>
        <w:pStyle w:val="PlainText"/>
        <w:ind w:left="1134" w:hanging="567"/>
        <w:rPr>
          <w:rFonts w:cs="Arial"/>
          <w:szCs w:val="24"/>
        </w:rPr>
      </w:pPr>
      <w:sdt>
        <w:sdtPr>
          <w:rPr>
            <w:rFonts w:cs="Arial"/>
            <w:szCs w:val="24"/>
          </w:rPr>
          <w:id w:val="1651719564"/>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Disagree</w:t>
      </w:r>
    </w:p>
    <w:p w14:paraId="6BD8A9BD" w14:textId="77777777" w:rsidR="00342FC6" w:rsidRPr="00342FC6" w:rsidRDefault="00000000" w:rsidP="000D7310">
      <w:pPr>
        <w:pStyle w:val="PlainText"/>
        <w:ind w:left="1134" w:hanging="567"/>
        <w:rPr>
          <w:rFonts w:cs="Arial"/>
          <w:szCs w:val="24"/>
        </w:rPr>
      </w:pPr>
      <w:sdt>
        <w:sdtPr>
          <w:rPr>
            <w:rFonts w:cs="Arial"/>
            <w:szCs w:val="24"/>
          </w:rPr>
          <w:id w:val="1981724317"/>
          <w14:checkbox>
            <w14:checked w14:val="0"/>
            <w14:checkedState w14:val="2612" w14:font="MS Gothic"/>
            <w14:uncheckedState w14:val="2610" w14:font="MS Gothic"/>
          </w14:checkbox>
        </w:sdtPr>
        <w:sdtContent>
          <w:r w:rsidR="00342FC6" w:rsidRPr="0060784C">
            <w:rPr>
              <w:rFonts w:ascii="Segoe UI Symbol" w:hAnsi="Segoe UI Symbol" w:cs="Segoe UI Symbol"/>
              <w:szCs w:val="24"/>
            </w:rPr>
            <w:t>☐</w:t>
          </w:r>
        </w:sdtContent>
      </w:sdt>
      <w:r w:rsidR="00342FC6" w:rsidRPr="00342FC6">
        <w:rPr>
          <w:rFonts w:cs="Arial"/>
          <w:szCs w:val="24"/>
        </w:rPr>
        <w:t xml:space="preserve">Strongly </w:t>
      </w:r>
      <w:proofErr w:type="gramStart"/>
      <w:r w:rsidR="00342FC6" w:rsidRPr="00342FC6">
        <w:rPr>
          <w:rFonts w:cs="Arial"/>
          <w:szCs w:val="24"/>
        </w:rPr>
        <w:t>disagree</w:t>
      </w:r>
      <w:proofErr w:type="gramEnd"/>
    </w:p>
    <w:p w14:paraId="519C5965" w14:textId="77777777" w:rsidR="00342FC6" w:rsidRPr="00342FC6" w:rsidRDefault="00342FC6" w:rsidP="00D6538F">
      <w:pPr>
        <w:pStyle w:val="ListParagraph"/>
        <w:ind w:left="567" w:hanging="567"/>
        <w:rPr>
          <w:rFonts w:ascii="Arial" w:hAnsi="Arial" w:cs="Arial"/>
          <w:sz w:val="24"/>
          <w:szCs w:val="24"/>
        </w:rPr>
      </w:pPr>
    </w:p>
    <w:p w14:paraId="761E62E9" w14:textId="2FB4992B" w:rsidR="00342FC6" w:rsidRPr="00342FC6" w:rsidRDefault="00D6538F" w:rsidP="00D6538F">
      <w:pPr>
        <w:pStyle w:val="PlainText"/>
        <w:ind w:left="567" w:hanging="567"/>
        <w:rPr>
          <w:rFonts w:cs="Arial"/>
          <w:szCs w:val="24"/>
        </w:rPr>
      </w:pPr>
      <w:r>
        <w:rPr>
          <w:rFonts w:cs="Arial"/>
          <w:szCs w:val="24"/>
        </w:rPr>
        <w:t>22.</w:t>
      </w:r>
      <w:r>
        <w:rPr>
          <w:rFonts w:cs="Arial"/>
          <w:szCs w:val="24"/>
        </w:rPr>
        <w:tab/>
      </w:r>
      <w:r w:rsidR="00342FC6" w:rsidRPr="00342FC6">
        <w:rPr>
          <w:rFonts w:cs="Arial"/>
          <w:szCs w:val="24"/>
        </w:rPr>
        <w:t>Are there any areas where you think the Part 3 guidance could be improved? Please cite specific parts of the guidance if relevant.</w:t>
      </w:r>
    </w:p>
    <w:p w14:paraId="06C58214" w14:textId="77777777" w:rsidR="00342FC6" w:rsidRPr="00342FC6" w:rsidRDefault="00342FC6" w:rsidP="00D6538F">
      <w:pPr>
        <w:pStyle w:val="ListParagraph"/>
        <w:ind w:left="567" w:hanging="567"/>
        <w:rPr>
          <w:rFonts w:ascii="Arial" w:hAnsi="Arial" w:cs="Arial"/>
          <w:sz w:val="24"/>
          <w:szCs w:val="24"/>
        </w:rPr>
      </w:pPr>
    </w:p>
    <w:p w14:paraId="28AEF58C" w14:textId="09A6C5B9" w:rsidR="0060784C" w:rsidRPr="00342FC6" w:rsidRDefault="0060784C" w:rsidP="000D7310">
      <w:pPr>
        <w:pStyle w:val="ListParagraph"/>
        <w:ind w:left="567"/>
        <w:rPr>
          <w:rFonts w:ascii="Arial" w:hAnsi="Arial" w:cs="Arial"/>
          <w:sz w:val="24"/>
          <w:szCs w:val="24"/>
        </w:rPr>
      </w:pPr>
      <w:r w:rsidRPr="00342FC6">
        <w:rPr>
          <w:rFonts w:ascii="Arial" w:hAnsi="Arial" w:cs="Arial"/>
          <w:sz w:val="24"/>
          <w:szCs w:val="24"/>
        </w:rPr>
        <w:t xml:space="preserve">In Annex D </w:t>
      </w:r>
      <w:proofErr w:type="gramStart"/>
      <w:r w:rsidRPr="00342FC6">
        <w:rPr>
          <w:rFonts w:ascii="Arial" w:hAnsi="Arial" w:cs="Arial"/>
          <w:sz w:val="24"/>
          <w:szCs w:val="24"/>
        </w:rPr>
        <w:t>section</w:t>
      </w:r>
      <w:proofErr w:type="gramEnd"/>
      <w:r w:rsidRPr="00342FC6">
        <w:rPr>
          <w:rFonts w:ascii="Arial" w:hAnsi="Arial" w:cs="Arial"/>
          <w:sz w:val="24"/>
          <w:szCs w:val="24"/>
        </w:rPr>
        <w:t xml:space="preserve"> B.4 we are not sure why the UK Government’s accessibility guidelines are linked to instead of the Scottish Accessible Information Forums’ guidelines on the Disability Information Scotland website, which the Scottish Government funds. </w:t>
      </w:r>
    </w:p>
    <w:p w14:paraId="5B0EC609" w14:textId="77777777" w:rsidR="0060784C" w:rsidRPr="00342FC6" w:rsidRDefault="0060784C" w:rsidP="00D6538F">
      <w:pPr>
        <w:pStyle w:val="ListParagraph"/>
        <w:ind w:left="567" w:hanging="567"/>
        <w:rPr>
          <w:rFonts w:ascii="Arial" w:hAnsi="Arial" w:cs="Arial"/>
          <w:sz w:val="24"/>
          <w:szCs w:val="24"/>
        </w:rPr>
      </w:pPr>
    </w:p>
    <w:p w14:paraId="60D040BA" w14:textId="77777777" w:rsidR="0060784C" w:rsidRPr="00342FC6" w:rsidRDefault="0060784C" w:rsidP="00E776EE">
      <w:pPr>
        <w:pStyle w:val="ListParagraph"/>
        <w:ind w:left="1134" w:hanging="567"/>
        <w:rPr>
          <w:rFonts w:ascii="Arial" w:hAnsi="Arial" w:cs="Arial"/>
          <w:sz w:val="24"/>
          <w:szCs w:val="24"/>
        </w:rPr>
      </w:pPr>
      <w:r w:rsidRPr="00342FC6">
        <w:rPr>
          <w:rFonts w:ascii="Arial" w:hAnsi="Arial" w:cs="Arial"/>
          <w:sz w:val="24"/>
          <w:szCs w:val="24"/>
        </w:rPr>
        <w:t xml:space="preserve">Annex E requires updating as it refers to “the Bill”. </w:t>
      </w:r>
    </w:p>
    <w:p w14:paraId="6E79B2F3" w14:textId="77777777" w:rsidR="00A22DDF" w:rsidRPr="00342FC6" w:rsidRDefault="00A22DDF" w:rsidP="00D6538F">
      <w:pPr>
        <w:spacing w:line="240" w:lineRule="auto"/>
        <w:ind w:left="567" w:hanging="567"/>
        <w:rPr>
          <w:rFonts w:ascii="Arial" w:hAnsi="Arial" w:cs="Arial"/>
          <w:sz w:val="24"/>
          <w:szCs w:val="24"/>
        </w:rPr>
      </w:pPr>
    </w:p>
    <w:p w14:paraId="4DD318E6" w14:textId="77777777" w:rsidR="6640F807" w:rsidRPr="00342FC6" w:rsidRDefault="00A22DDF" w:rsidP="00E776EE">
      <w:pPr>
        <w:spacing w:line="240" w:lineRule="auto"/>
        <w:rPr>
          <w:rFonts w:ascii="Arial" w:eastAsia="Arial" w:hAnsi="Arial" w:cs="Arial"/>
          <w:b/>
          <w:bCs/>
          <w:sz w:val="24"/>
          <w:szCs w:val="24"/>
        </w:rPr>
      </w:pPr>
      <w:r w:rsidRPr="00342FC6">
        <w:rPr>
          <w:rFonts w:ascii="Arial" w:hAnsi="Arial" w:cs="Arial"/>
          <w:sz w:val="24"/>
          <w:szCs w:val="24"/>
        </w:rPr>
        <w:t xml:space="preserve">For further information, please contact Megan Farr, Policy Officer at </w:t>
      </w:r>
      <w:hyperlink r:id="rId11" w:history="1">
        <w:r w:rsidRPr="00342FC6">
          <w:rPr>
            <w:rStyle w:val="Hyperlink"/>
            <w:rFonts w:ascii="Arial" w:hAnsi="Arial" w:cs="Arial"/>
            <w:sz w:val="24"/>
            <w:szCs w:val="24"/>
          </w:rPr>
          <w:t>megan.farr@cypcs.org.uk</w:t>
        </w:r>
      </w:hyperlink>
      <w:r w:rsidRPr="00342FC6">
        <w:rPr>
          <w:rFonts w:ascii="Arial" w:hAnsi="Arial" w:cs="Arial"/>
          <w:sz w:val="24"/>
          <w:szCs w:val="24"/>
        </w:rPr>
        <w:t xml:space="preserve"> or 07803 </w:t>
      </w:r>
      <w:proofErr w:type="gramStart"/>
      <w:r w:rsidRPr="00342FC6">
        <w:rPr>
          <w:rFonts w:ascii="Arial" w:hAnsi="Arial" w:cs="Arial"/>
          <w:sz w:val="24"/>
          <w:szCs w:val="24"/>
        </w:rPr>
        <w:t>874 774</w:t>
      </w:r>
      <w:proofErr w:type="gramEnd"/>
      <w:r w:rsidR="5129D2CA" w:rsidRPr="00342FC6">
        <w:rPr>
          <w:rFonts w:ascii="Arial" w:eastAsia="Arial" w:hAnsi="Arial" w:cs="Arial"/>
          <w:sz w:val="24"/>
          <w:szCs w:val="24"/>
        </w:rPr>
        <w:t xml:space="preserve"> </w:t>
      </w:r>
    </w:p>
    <w:sectPr w:rsidR="6640F807" w:rsidRPr="00342FC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1F7366" w14:textId="77777777" w:rsidR="00204654" w:rsidRDefault="00204654" w:rsidP="00B33CA3">
      <w:pPr>
        <w:spacing w:after="0" w:line="240" w:lineRule="auto"/>
      </w:pPr>
      <w:r>
        <w:separator/>
      </w:r>
    </w:p>
  </w:endnote>
  <w:endnote w:type="continuationSeparator" w:id="0">
    <w:p w14:paraId="6D91327B" w14:textId="77777777" w:rsidR="00204654" w:rsidRDefault="00204654" w:rsidP="00B33CA3">
      <w:pPr>
        <w:spacing w:after="0" w:line="240" w:lineRule="auto"/>
      </w:pPr>
      <w:r>
        <w:continuationSeparator/>
      </w:r>
    </w:p>
  </w:endnote>
  <w:endnote w:type="continuationNotice" w:id="1">
    <w:p w14:paraId="26ACF014" w14:textId="77777777" w:rsidR="00204654" w:rsidRDefault="002046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29A7F" w14:textId="77777777" w:rsidR="001B53A1" w:rsidRDefault="001B53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4949369"/>
      <w:docPartObj>
        <w:docPartGallery w:val="Page Numbers (Bottom of Page)"/>
        <w:docPartUnique/>
      </w:docPartObj>
    </w:sdtPr>
    <w:sdtEndPr>
      <w:rPr>
        <w:noProof/>
      </w:rPr>
    </w:sdtEndPr>
    <w:sdtContent>
      <w:p w14:paraId="34BC3807" w14:textId="77777777" w:rsidR="00B33CA3" w:rsidRDefault="00B33CA3" w:rsidP="001B53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BE4161" w14:textId="77777777" w:rsidR="00B33CA3" w:rsidRDefault="00B33C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05178" w14:textId="77777777" w:rsidR="001B53A1" w:rsidRDefault="001B53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5DFDD8" w14:textId="77777777" w:rsidR="00204654" w:rsidRDefault="00204654" w:rsidP="00B33CA3">
      <w:pPr>
        <w:spacing w:after="0" w:line="240" w:lineRule="auto"/>
      </w:pPr>
      <w:r>
        <w:separator/>
      </w:r>
    </w:p>
  </w:footnote>
  <w:footnote w:type="continuationSeparator" w:id="0">
    <w:p w14:paraId="72A72E2A" w14:textId="77777777" w:rsidR="00204654" w:rsidRDefault="00204654" w:rsidP="00B33CA3">
      <w:pPr>
        <w:spacing w:after="0" w:line="240" w:lineRule="auto"/>
      </w:pPr>
      <w:r>
        <w:continuationSeparator/>
      </w:r>
    </w:p>
  </w:footnote>
  <w:footnote w:type="continuationNotice" w:id="1">
    <w:p w14:paraId="0E6B4C6F" w14:textId="77777777" w:rsidR="00204654" w:rsidRDefault="002046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FCDAA" w14:textId="77777777" w:rsidR="001B53A1" w:rsidRDefault="001B53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9"/>
      <w:gridCol w:w="3009"/>
      <w:gridCol w:w="3009"/>
    </w:tblGrid>
    <w:tr w:rsidR="594D7CE8" w14:paraId="7B795DFD" w14:textId="77777777" w:rsidTr="594D7CE8">
      <w:tc>
        <w:tcPr>
          <w:tcW w:w="3009" w:type="dxa"/>
        </w:tcPr>
        <w:p w14:paraId="3BEF684D" w14:textId="77777777" w:rsidR="594D7CE8" w:rsidRDefault="594D7CE8" w:rsidP="594D7CE8">
          <w:pPr>
            <w:pStyle w:val="Header"/>
            <w:ind w:left="-115"/>
          </w:pPr>
        </w:p>
      </w:tc>
      <w:tc>
        <w:tcPr>
          <w:tcW w:w="3009" w:type="dxa"/>
        </w:tcPr>
        <w:p w14:paraId="6A811EEC" w14:textId="77777777" w:rsidR="594D7CE8" w:rsidRDefault="594D7CE8" w:rsidP="594D7CE8">
          <w:pPr>
            <w:pStyle w:val="Header"/>
            <w:jc w:val="center"/>
          </w:pPr>
        </w:p>
      </w:tc>
      <w:tc>
        <w:tcPr>
          <w:tcW w:w="3009" w:type="dxa"/>
        </w:tcPr>
        <w:p w14:paraId="768C327A" w14:textId="77777777" w:rsidR="594D7CE8" w:rsidRDefault="594D7CE8" w:rsidP="594D7CE8">
          <w:pPr>
            <w:pStyle w:val="Header"/>
            <w:ind w:right="-115"/>
            <w:jc w:val="right"/>
          </w:pPr>
        </w:p>
      </w:tc>
    </w:tr>
  </w:tbl>
  <w:p w14:paraId="7A17B3DC" w14:textId="77777777" w:rsidR="594D7CE8" w:rsidRDefault="594D7CE8" w:rsidP="594D7C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06D73" w14:textId="77777777" w:rsidR="001B53A1" w:rsidRDefault="001B5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D19E3"/>
    <w:multiLevelType w:val="multilevel"/>
    <w:tmpl w:val="C04C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252ED"/>
    <w:multiLevelType w:val="hybridMultilevel"/>
    <w:tmpl w:val="364680D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47C9E"/>
    <w:multiLevelType w:val="multilevel"/>
    <w:tmpl w:val="34C0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E67F5"/>
    <w:multiLevelType w:val="multilevel"/>
    <w:tmpl w:val="D516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087BC7"/>
    <w:multiLevelType w:val="multilevel"/>
    <w:tmpl w:val="9056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226452"/>
    <w:multiLevelType w:val="hybridMultilevel"/>
    <w:tmpl w:val="BD6A0000"/>
    <w:lvl w:ilvl="0" w:tplc="631A766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E408D4"/>
    <w:multiLevelType w:val="multilevel"/>
    <w:tmpl w:val="BB5C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D45430"/>
    <w:multiLevelType w:val="hybridMultilevel"/>
    <w:tmpl w:val="FFFFFFFF"/>
    <w:lvl w:ilvl="0" w:tplc="FB546738">
      <w:start w:val="1"/>
      <w:numFmt w:val="bullet"/>
      <w:lvlText w:val=""/>
      <w:lvlJc w:val="left"/>
      <w:pPr>
        <w:ind w:left="720" w:hanging="360"/>
      </w:pPr>
      <w:rPr>
        <w:rFonts w:ascii="Symbol" w:hAnsi="Symbol" w:hint="default"/>
      </w:rPr>
    </w:lvl>
    <w:lvl w:ilvl="1" w:tplc="3022EFE6">
      <w:start w:val="1"/>
      <w:numFmt w:val="bullet"/>
      <w:lvlText w:val="o"/>
      <w:lvlJc w:val="left"/>
      <w:pPr>
        <w:ind w:left="1440" w:hanging="360"/>
      </w:pPr>
      <w:rPr>
        <w:rFonts w:ascii="Courier New" w:hAnsi="Courier New" w:hint="default"/>
      </w:rPr>
    </w:lvl>
    <w:lvl w:ilvl="2" w:tplc="002AAB2C">
      <w:start w:val="1"/>
      <w:numFmt w:val="bullet"/>
      <w:lvlText w:val=""/>
      <w:lvlJc w:val="left"/>
      <w:pPr>
        <w:ind w:left="2160" w:hanging="360"/>
      </w:pPr>
      <w:rPr>
        <w:rFonts w:ascii="Wingdings" w:hAnsi="Wingdings" w:hint="default"/>
      </w:rPr>
    </w:lvl>
    <w:lvl w:ilvl="3" w:tplc="5C8CDC84">
      <w:start w:val="1"/>
      <w:numFmt w:val="bullet"/>
      <w:lvlText w:val=""/>
      <w:lvlJc w:val="left"/>
      <w:pPr>
        <w:ind w:left="2880" w:hanging="360"/>
      </w:pPr>
      <w:rPr>
        <w:rFonts w:ascii="Symbol" w:hAnsi="Symbol" w:hint="default"/>
      </w:rPr>
    </w:lvl>
    <w:lvl w:ilvl="4" w:tplc="5090074A">
      <w:start w:val="1"/>
      <w:numFmt w:val="bullet"/>
      <w:lvlText w:val="o"/>
      <w:lvlJc w:val="left"/>
      <w:pPr>
        <w:ind w:left="3600" w:hanging="360"/>
      </w:pPr>
      <w:rPr>
        <w:rFonts w:ascii="Courier New" w:hAnsi="Courier New" w:hint="default"/>
      </w:rPr>
    </w:lvl>
    <w:lvl w:ilvl="5" w:tplc="0D361D9C">
      <w:start w:val="1"/>
      <w:numFmt w:val="bullet"/>
      <w:lvlText w:val=""/>
      <w:lvlJc w:val="left"/>
      <w:pPr>
        <w:ind w:left="4320" w:hanging="360"/>
      </w:pPr>
      <w:rPr>
        <w:rFonts w:ascii="Wingdings" w:hAnsi="Wingdings" w:hint="default"/>
      </w:rPr>
    </w:lvl>
    <w:lvl w:ilvl="6" w:tplc="476C47B4">
      <w:start w:val="1"/>
      <w:numFmt w:val="bullet"/>
      <w:lvlText w:val=""/>
      <w:lvlJc w:val="left"/>
      <w:pPr>
        <w:ind w:left="5040" w:hanging="360"/>
      </w:pPr>
      <w:rPr>
        <w:rFonts w:ascii="Symbol" w:hAnsi="Symbol" w:hint="default"/>
      </w:rPr>
    </w:lvl>
    <w:lvl w:ilvl="7" w:tplc="49F6DB72">
      <w:start w:val="1"/>
      <w:numFmt w:val="bullet"/>
      <w:lvlText w:val="o"/>
      <w:lvlJc w:val="left"/>
      <w:pPr>
        <w:ind w:left="5760" w:hanging="360"/>
      </w:pPr>
      <w:rPr>
        <w:rFonts w:ascii="Courier New" w:hAnsi="Courier New" w:hint="default"/>
      </w:rPr>
    </w:lvl>
    <w:lvl w:ilvl="8" w:tplc="46709166">
      <w:start w:val="1"/>
      <w:numFmt w:val="bullet"/>
      <w:lvlText w:val=""/>
      <w:lvlJc w:val="left"/>
      <w:pPr>
        <w:ind w:left="6480" w:hanging="360"/>
      </w:pPr>
      <w:rPr>
        <w:rFonts w:ascii="Wingdings" w:hAnsi="Wingdings" w:hint="default"/>
      </w:rPr>
    </w:lvl>
  </w:abstractNum>
  <w:abstractNum w:abstractNumId="8" w15:restartNumberingAfterBreak="0">
    <w:nsid w:val="4D9C27CC"/>
    <w:multiLevelType w:val="multilevel"/>
    <w:tmpl w:val="0E6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B607CB"/>
    <w:multiLevelType w:val="hybridMultilevel"/>
    <w:tmpl w:val="755820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E932808"/>
    <w:multiLevelType w:val="hybridMultilevel"/>
    <w:tmpl w:val="E962D5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D77742"/>
    <w:multiLevelType w:val="multilevel"/>
    <w:tmpl w:val="FB4C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67323D"/>
    <w:multiLevelType w:val="multilevel"/>
    <w:tmpl w:val="1F5E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556FAB"/>
    <w:multiLevelType w:val="multilevel"/>
    <w:tmpl w:val="8C2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DB3AC9"/>
    <w:multiLevelType w:val="hybridMultilevel"/>
    <w:tmpl w:val="EE5CD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A9411B"/>
    <w:multiLevelType w:val="hybridMultilevel"/>
    <w:tmpl w:val="99CA6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0026458">
    <w:abstractNumId w:val="7"/>
  </w:num>
  <w:num w:numId="2" w16cid:durableId="1459765449">
    <w:abstractNumId w:val="8"/>
  </w:num>
  <w:num w:numId="3" w16cid:durableId="2113355736">
    <w:abstractNumId w:val="2"/>
  </w:num>
  <w:num w:numId="4" w16cid:durableId="1307782466">
    <w:abstractNumId w:val="0"/>
  </w:num>
  <w:num w:numId="5" w16cid:durableId="1549342491">
    <w:abstractNumId w:val="13"/>
  </w:num>
  <w:num w:numId="6" w16cid:durableId="2147309611">
    <w:abstractNumId w:val="11"/>
  </w:num>
  <w:num w:numId="7" w16cid:durableId="1427381807">
    <w:abstractNumId w:val="4"/>
  </w:num>
  <w:num w:numId="8" w16cid:durableId="51661124">
    <w:abstractNumId w:val="10"/>
  </w:num>
  <w:num w:numId="9" w16cid:durableId="18980077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5442686">
    <w:abstractNumId w:val="9"/>
  </w:num>
  <w:num w:numId="11" w16cid:durableId="182206928">
    <w:abstractNumId w:val="1"/>
  </w:num>
  <w:num w:numId="12" w16cid:durableId="1625691451">
    <w:abstractNumId w:val="14"/>
  </w:num>
  <w:num w:numId="13" w16cid:durableId="1704867818">
    <w:abstractNumId w:val="12"/>
  </w:num>
  <w:num w:numId="14" w16cid:durableId="147408565">
    <w:abstractNumId w:val="3"/>
  </w:num>
  <w:num w:numId="15" w16cid:durableId="1165432609">
    <w:abstractNumId w:val="6"/>
  </w:num>
  <w:num w:numId="16" w16cid:durableId="498157054">
    <w:abstractNumId w:val="5"/>
  </w:num>
  <w:num w:numId="17" w16cid:durableId="10597924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C6"/>
    <w:rsid w:val="000D6817"/>
    <w:rsid w:val="000D7310"/>
    <w:rsid w:val="000F5FF1"/>
    <w:rsid w:val="001244E9"/>
    <w:rsid w:val="001321DD"/>
    <w:rsid w:val="001544AC"/>
    <w:rsid w:val="00156E4E"/>
    <w:rsid w:val="001755A5"/>
    <w:rsid w:val="001946E2"/>
    <w:rsid w:val="001B53A1"/>
    <w:rsid w:val="001D0409"/>
    <w:rsid w:val="001D0B1A"/>
    <w:rsid w:val="00204654"/>
    <w:rsid w:val="00211DA2"/>
    <w:rsid w:val="002B57B7"/>
    <w:rsid w:val="002B6978"/>
    <w:rsid w:val="00336729"/>
    <w:rsid w:val="00342FC6"/>
    <w:rsid w:val="003661B6"/>
    <w:rsid w:val="00390065"/>
    <w:rsid w:val="003922CE"/>
    <w:rsid w:val="003A349F"/>
    <w:rsid w:val="003C6A4B"/>
    <w:rsid w:val="003D3C8E"/>
    <w:rsid w:val="003E0E72"/>
    <w:rsid w:val="003F5757"/>
    <w:rsid w:val="003F5C7D"/>
    <w:rsid w:val="004120F3"/>
    <w:rsid w:val="0041251D"/>
    <w:rsid w:val="00424872"/>
    <w:rsid w:val="00457B1B"/>
    <w:rsid w:val="0049264E"/>
    <w:rsid w:val="004B4F6E"/>
    <w:rsid w:val="004C51F4"/>
    <w:rsid w:val="004E7C1C"/>
    <w:rsid w:val="00503C8A"/>
    <w:rsid w:val="00536D5E"/>
    <w:rsid w:val="00551C3C"/>
    <w:rsid w:val="00553699"/>
    <w:rsid w:val="00566395"/>
    <w:rsid w:val="0057E26B"/>
    <w:rsid w:val="005952E9"/>
    <w:rsid w:val="00601DD5"/>
    <w:rsid w:val="0060784C"/>
    <w:rsid w:val="00611414"/>
    <w:rsid w:val="006316CF"/>
    <w:rsid w:val="00677A0D"/>
    <w:rsid w:val="006942CD"/>
    <w:rsid w:val="006A77A6"/>
    <w:rsid w:val="006E1AE0"/>
    <w:rsid w:val="007014EB"/>
    <w:rsid w:val="00701EE1"/>
    <w:rsid w:val="00726173"/>
    <w:rsid w:val="00772855"/>
    <w:rsid w:val="007759E3"/>
    <w:rsid w:val="007928D6"/>
    <w:rsid w:val="00793C71"/>
    <w:rsid w:val="007B13FA"/>
    <w:rsid w:val="007C7214"/>
    <w:rsid w:val="007D2890"/>
    <w:rsid w:val="007F3E6F"/>
    <w:rsid w:val="007F75E5"/>
    <w:rsid w:val="008429E8"/>
    <w:rsid w:val="00847475"/>
    <w:rsid w:val="00850DA3"/>
    <w:rsid w:val="00853417"/>
    <w:rsid w:val="008758EA"/>
    <w:rsid w:val="008F344F"/>
    <w:rsid w:val="008F5A93"/>
    <w:rsid w:val="00914A6F"/>
    <w:rsid w:val="009337EA"/>
    <w:rsid w:val="00973F90"/>
    <w:rsid w:val="009935FD"/>
    <w:rsid w:val="009A47CF"/>
    <w:rsid w:val="009B6F3E"/>
    <w:rsid w:val="009CCD44"/>
    <w:rsid w:val="009E0E5F"/>
    <w:rsid w:val="009F0303"/>
    <w:rsid w:val="00A21C75"/>
    <w:rsid w:val="00A22DDF"/>
    <w:rsid w:val="00A32033"/>
    <w:rsid w:val="00A766D8"/>
    <w:rsid w:val="00A76BEA"/>
    <w:rsid w:val="00A874E1"/>
    <w:rsid w:val="00B33CA3"/>
    <w:rsid w:val="00B3CFD1"/>
    <w:rsid w:val="00B567C8"/>
    <w:rsid w:val="00B5FF2A"/>
    <w:rsid w:val="00B66888"/>
    <w:rsid w:val="00B72E34"/>
    <w:rsid w:val="00BA18DF"/>
    <w:rsid w:val="00BD673A"/>
    <w:rsid w:val="00BF3C2C"/>
    <w:rsid w:val="00C04EB1"/>
    <w:rsid w:val="00C316CB"/>
    <w:rsid w:val="00C33E8F"/>
    <w:rsid w:val="00C44EB4"/>
    <w:rsid w:val="00C500DE"/>
    <w:rsid w:val="00CA4131"/>
    <w:rsid w:val="00CC02E5"/>
    <w:rsid w:val="00CE45DE"/>
    <w:rsid w:val="00D03BEA"/>
    <w:rsid w:val="00D5246A"/>
    <w:rsid w:val="00D6538F"/>
    <w:rsid w:val="00D732FD"/>
    <w:rsid w:val="00D73DDF"/>
    <w:rsid w:val="00D802C2"/>
    <w:rsid w:val="00DE2B27"/>
    <w:rsid w:val="00E13A51"/>
    <w:rsid w:val="00E22471"/>
    <w:rsid w:val="00E670B0"/>
    <w:rsid w:val="00E74BB5"/>
    <w:rsid w:val="00E776EE"/>
    <w:rsid w:val="00EA332E"/>
    <w:rsid w:val="00EB146D"/>
    <w:rsid w:val="00EC4DAC"/>
    <w:rsid w:val="00EE2DAC"/>
    <w:rsid w:val="00EF18AD"/>
    <w:rsid w:val="00EF7447"/>
    <w:rsid w:val="00F02383"/>
    <w:rsid w:val="00F414A4"/>
    <w:rsid w:val="00F652D0"/>
    <w:rsid w:val="00FA213B"/>
    <w:rsid w:val="00FC07F2"/>
    <w:rsid w:val="00FD3AB5"/>
    <w:rsid w:val="00FF0B82"/>
    <w:rsid w:val="0131E711"/>
    <w:rsid w:val="015A3908"/>
    <w:rsid w:val="0181D050"/>
    <w:rsid w:val="0198E507"/>
    <w:rsid w:val="01A304C5"/>
    <w:rsid w:val="01B9D452"/>
    <w:rsid w:val="01CA7BE7"/>
    <w:rsid w:val="01E346FE"/>
    <w:rsid w:val="01EBAE1F"/>
    <w:rsid w:val="020A8CB6"/>
    <w:rsid w:val="025D1281"/>
    <w:rsid w:val="028617BA"/>
    <w:rsid w:val="02A8E6D5"/>
    <w:rsid w:val="02C20986"/>
    <w:rsid w:val="02C647E4"/>
    <w:rsid w:val="02CCD8ED"/>
    <w:rsid w:val="02EED66D"/>
    <w:rsid w:val="0317664F"/>
    <w:rsid w:val="031CC699"/>
    <w:rsid w:val="03215202"/>
    <w:rsid w:val="032274AE"/>
    <w:rsid w:val="035C8EBD"/>
    <w:rsid w:val="0395C86D"/>
    <w:rsid w:val="039D814A"/>
    <w:rsid w:val="039F6A84"/>
    <w:rsid w:val="0402A099"/>
    <w:rsid w:val="041C86A7"/>
    <w:rsid w:val="04343754"/>
    <w:rsid w:val="044C2587"/>
    <w:rsid w:val="045692FD"/>
    <w:rsid w:val="04931E00"/>
    <w:rsid w:val="04969A05"/>
    <w:rsid w:val="049AB68C"/>
    <w:rsid w:val="04A1DA23"/>
    <w:rsid w:val="04ADE870"/>
    <w:rsid w:val="04BECF12"/>
    <w:rsid w:val="04C1D237"/>
    <w:rsid w:val="0507C0BB"/>
    <w:rsid w:val="050EF5B1"/>
    <w:rsid w:val="05327AB4"/>
    <w:rsid w:val="05469142"/>
    <w:rsid w:val="059CCB12"/>
    <w:rsid w:val="05E1A2FA"/>
    <w:rsid w:val="05F5AD0A"/>
    <w:rsid w:val="05F63F04"/>
    <w:rsid w:val="0602518C"/>
    <w:rsid w:val="062B7C91"/>
    <w:rsid w:val="0637B26E"/>
    <w:rsid w:val="068535F9"/>
    <w:rsid w:val="068DDB2E"/>
    <w:rsid w:val="068F70F7"/>
    <w:rsid w:val="06922CF6"/>
    <w:rsid w:val="06C46B8F"/>
    <w:rsid w:val="06C5EDFE"/>
    <w:rsid w:val="06DBF7ED"/>
    <w:rsid w:val="06F77555"/>
    <w:rsid w:val="071693CE"/>
    <w:rsid w:val="074C2C8A"/>
    <w:rsid w:val="0765AB9B"/>
    <w:rsid w:val="07834A15"/>
    <w:rsid w:val="0784A0A5"/>
    <w:rsid w:val="0794D419"/>
    <w:rsid w:val="07C929CC"/>
    <w:rsid w:val="081F2594"/>
    <w:rsid w:val="0825CFD6"/>
    <w:rsid w:val="083A6CCF"/>
    <w:rsid w:val="085FEC56"/>
    <w:rsid w:val="086506D1"/>
    <w:rsid w:val="08668FBC"/>
    <w:rsid w:val="08672E38"/>
    <w:rsid w:val="08711D11"/>
    <w:rsid w:val="087B27E7"/>
    <w:rsid w:val="08C81643"/>
    <w:rsid w:val="08E5ED1E"/>
    <w:rsid w:val="08EE3C6F"/>
    <w:rsid w:val="08FD3943"/>
    <w:rsid w:val="09652514"/>
    <w:rsid w:val="09753125"/>
    <w:rsid w:val="09879D08"/>
    <w:rsid w:val="099D9DDA"/>
    <w:rsid w:val="09C6E300"/>
    <w:rsid w:val="09D0D52A"/>
    <w:rsid w:val="09D9B029"/>
    <w:rsid w:val="09DCF8B1"/>
    <w:rsid w:val="0A3B8916"/>
    <w:rsid w:val="0A489288"/>
    <w:rsid w:val="0A5B10B6"/>
    <w:rsid w:val="0A5DE6AA"/>
    <w:rsid w:val="0A70B04A"/>
    <w:rsid w:val="0A8A7D9A"/>
    <w:rsid w:val="0A9096F2"/>
    <w:rsid w:val="0A980B3C"/>
    <w:rsid w:val="0AA545A2"/>
    <w:rsid w:val="0ABB2E2F"/>
    <w:rsid w:val="0ADDAC8C"/>
    <w:rsid w:val="0B40D7BF"/>
    <w:rsid w:val="0B4BD1B7"/>
    <w:rsid w:val="0B534E34"/>
    <w:rsid w:val="0B7B9BA2"/>
    <w:rsid w:val="0BA39B01"/>
    <w:rsid w:val="0BFBD975"/>
    <w:rsid w:val="0C0BDB33"/>
    <w:rsid w:val="0C0C1BA7"/>
    <w:rsid w:val="0C53800D"/>
    <w:rsid w:val="0C7821C0"/>
    <w:rsid w:val="0C899095"/>
    <w:rsid w:val="0C92FDDA"/>
    <w:rsid w:val="0C94FA7B"/>
    <w:rsid w:val="0CC32D7F"/>
    <w:rsid w:val="0CDEC37A"/>
    <w:rsid w:val="0CF292EC"/>
    <w:rsid w:val="0D13568E"/>
    <w:rsid w:val="0D720758"/>
    <w:rsid w:val="0D76F05C"/>
    <w:rsid w:val="0D92471F"/>
    <w:rsid w:val="0D9BD7A1"/>
    <w:rsid w:val="0DA1E49B"/>
    <w:rsid w:val="0DC067A0"/>
    <w:rsid w:val="0DC6310E"/>
    <w:rsid w:val="0DC82DDE"/>
    <w:rsid w:val="0DE5759C"/>
    <w:rsid w:val="0DE5E797"/>
    <w:rsid w:val="0E2A750A"/>
    <w:rsid w:val="0E85F2FA"/>
    <w:rsid w:val="0E87E201"/>
    <w:rsid w:val="0ED4F038"/>
    <w:rsid w:val="0F04DB7D"/>
    <w:rsid w:val="0F10940C"/>
    <w:rsid w:val="0F24F1C4"/>
    <w:rsid w:val="0F4D5C45"/>
    <w:rsid w:val="0F816B3B"/>
    <w:rsid w:val="0F90004A"/>
    <w:rsid w:val="0FA9A2EA"/>
    <w:rsid w:val="10062488"/>
    <w:rsid w:val="1010A9B3"/>
    <w:rsid w:val="105C96E7"/>
    <w:rsid w:val="105F9FDA"/>
    <w:rsid w:val="1066CAB2"/>
    <w:rsid w:val="106C5856"/>
    <w:rsid w:val="10709D07"/>
    <w:rsid w:val="1083300C"/>
    <w:rsid w:val="10896D10"/>
    <w:rsid w:val="10AA735C"/>
    <w:rsid w:val="10C06263"/>
    <w:rsid w:val="10CE6BF8"/>
    <w:rsid w:val="1120D4AA"/>
    <w:rsid w:val="1147DBDD"/>
    <w:rsid w:val="1156EED2"/>
    <w:rsid w:val="118B042E"/>
    <w:rsid w:val="11B4CEBC"/>
    <w:rsid w:val="11EB58E0"/>
    <w:rsid w:val="121D7E47"/>
    <w:rsid w:val="12384A72"/>
    <w:rsid w:val="123DEA1C"/>
    <w:rsid w:val="12630DBE"/>
    <w:rsid w:val="12742639"/>
    <w:rsid w:val="1298A25A"/>
    <w:rsid w:val="12BC0125"/>
    <w:rsid w:val="12EB4C0C"/>
    <w:rsid w:val="12ED222D"/>
    <w:rsid w:val="12FA9D73"/>
    <w:rsid w:val="13043E75"/>
    <w:rsid w:val="1308952E"/>
    <w:rsid w:val="133B6DF1"/>
    <w:rsid w:val="136A7B55"/>
    <w:rsid w:val="138C6DF7"/>
    <w:rsid w:val="13B52BFE"/>
    <w:rsid w:val="13E0A649"/>
    <w:rsid w:val="13EA02A7"/>
    <w:rsid w:val="1405AA95"/>
    <w:rsid w:val="14099744"/>
    <w:rsid w:val="143CDE0B"/>
    <w:rsid w:val="144D8887"/>
    <w:rsid w:val="1471E653"/>
    <w:rsid w:val="14982D7E"/>
    <w:rsid w:val="14B29F80"/>
    <w:rsid w:val="14BC24D1"/>
    <w:rsid w:val="14EE5367"/>
    <w:rsid w:val="15152C09"/>
    <w:rsid w:val="151E84BD"/>
    <w:rsid w:val="158798EB"/>
    <w:rsid w:val="15D82345"/>
    <w:rsid w:val="15DD63A7"/>
    <w:rsid w:val="15F02FA8"/>
    <w:rsid w:val="15F47F0B"/>
    <w:rsid w:val="16048898"/>
    <w:rsid w:val="160E254D"/>
    <w:rsid w:val="16292F70"/>
    <w:rsid w:val="1633249A"/>
    <w:rsid w:val="16459AAC"/>
    <w:rsid w:val="164E2DFF"/>
    <w:rsid w:val="166924E8"/>
    <w:rsid w:val="16CBB31C"/>
    <w:rsid w:val="170889C7"/>
    <w:rsid w:val="175ED592"/>
    <w:rsid w:val="1772765C"/>
    <w:rsid w:val="17A3AEE5"/>
    <w:rsid w:val="17DD2F20"/>
    <w:rsid w:val="1813C96D"/>
    <w:rsid w:val="1846618F"/>
    <w:rsid w:val="184BE059"/>
    <w:rsid w:val="18B170C2"/>
    <w:rsid w:val="19195CE6"/>
    <w:rsid w:val="193C6402"/>
    <w:rsid w:val="194C9270"/>
    <w:rsid w:val="195D37D1"/>
    <w:rsid w:val="197FF962"/>
    <w:rsid w:val="1992C314"/>
    <w:rsid w:val="199DD782"/>
    <w:rsid w:val="19DB66E1"/>
    <w:rsid w:val="1A6B964F"/>
    <w:rsid w:val="1A7A28D3"/>
    <w:rsid w:val="1A7A9AD1"/>
    <w:rsid w:val="1A8AFCEB"/>
    <w:rsid w:val="1AA7E065"/>
    <w:rsid w:val="1AB3AA11"/>
    <w:rsid w:val="1ACB35B7"/>
    <w:rsid w:val="1AE25614"/>
    <w:rsid w:val="1B0E14CF"/>
    <w:rsid w:val="1B3AC305"/>
    <w:rsid w:val="1B3C68BF"/>
    <w:rsid w:val="1B581608"/>
    <w:rsid w:val="1B629830"/>
    <w:rsid w:val="1B6533BD"/>
    <w:rsid w:val="1B6F8942"/>
    <w:rsid w:val="1B83D8CF"/>
    <w:rsid w:val="1B99CE92"/>
    <w:rsid w:val="1BCC4604"/>
    <w:rsid w:val="1C3D90C2"/>
    <w:rsid w:val="1C51358D"/>
    <w:rsid w:val="1C62F08D"/>
    <w:rsid w:val="1C70B4DC"/>
    <w:rsid w:val="1C834AE0"/>
    <w:rsid w:val="1CD1211A"/>
    <w:rsid w:val="1CEFBF3B"/>
    <w:rsid w:val="1CF0D7F4"/>
    <w:rsid w:val="1D0358AF"/>
    <w:rsid w:val="1D18BA3F"/>
    <w:rsid w:val="1D4F6304"/>
    <w:rsid w:val="1D516F89"/>
    <w:rsid w:val="1D8EDF0E"/>
    <w:rsid w:val="1DA194EC"/>
    <w:rsid w:val="1DA5880F"/>
    <w:rsid w:val="1DB24DE0"/>
    <w:rsid w:val="1DBF9325"/>
    <w:rsid w:val="1DD857E2"/>
    <w:rsid w:val="1DFE208B"/>
    <w:rsid w:val="1E1BECDF"/>
    <w:rsid w:val="1E53D0EB"/>
    <w:rsid w:val="1E53D620"/>
    <w:rsid w:val="1E6703D3"/>
    <w:rsid w:val="1EC94C79"/>
    <w:rsid w:val="1F0F355D"/>
    <w:rsid w:val="1F44376D"/>
    <w:rsid w:val="1F7F5D57"/>
    <w:rsid w:val="1F9FBD9E"/>
    <w:rsid w:val="1FBF3A8D"/>
    <w:rsid w:val="1FC50666"/>
    <w:rsid w:val="205385BD"/>
    <w:rsid w:val="20736A6D"/>
    <w:rsid w:val="208BFA6D"/>
    <w:rsid w:val="208EA118"/>
    <w:rsid w:val="209666C2"/>
    <w:rsid w:val="20A3DC3B"/>
    <w:rsid w:val="2118C0B7"/>
    <w:rsid w:val="21248E83"/>
    <w:rsid w:val="21342173"/>
    <w:rsid w:val="21473C7B"/>
    <w:rsid w:val="2159DEE8"/>
    <w:rsid w:val="215BE70B"/>
    <w:rsid w:val="217F92BB"/>
    <w:rsid w:val="218EE5B6"/>
    <w:rsid w:val="21A698DC"/>
    <w:rsid w:val="21BA2EEF"/>
    <w:rsid w:val="21C1276E"/>
    <w:rsid w:val="21DD2064"/>
    <w:rsid w:val="21E9A936"/>
    <w:rsid w:val="22466ACE"/>
    <w:rsid w:val="225ADE7F"/>
    <w:rsid w:val="226B6A76"/>
    <w:rsid w:val="22A4E1B5"/>
    <w:rsid w:val="22CFF351"/>
    <w:rsid w:val="23005064"/>
    <w:rsid w:val="2320E112"/>
    <w:rsid w:val="23458994"/>
    <w:rsid w:val="234E98C2"/>
    <w:rsid w:val="239346B6"/>
    <w:rsid w:val="23A1985F"/>
    <w:rsid w:val="23AB3785"/>
    <w:rsid w:val="23BB6AAF"/>
    <w:rsid w:val="23C4446F"/>
    <w:rsid w:val="2418744C"/>
    <w:rsid w:val="2441C2E1"/>
    <w:rsid w:val="245CA443"/>
    <w:rsid w:val="24BCCEAB"/>
    <w:rsid w:val="24F517D2"/>
    <w:rsid w:val="24F54C5F"/>
    <w:rsid w:val="251A45E4"/>
    <w:rsid w:val="254BC0FA"/>
    <w:rsid w:val="256487C4"/>
    <w:rsid w:val="25966CF9"/>
    <w:rsid w:val="259B6364"/>
    <w:rsid w:val="25B5833D"/>
    <w:rsid w:val="25D64945"/>
    <w:rsid w:val="25E4BB09"/>
    <w:rsid w:val="25F06DE0"/>
    <w:rsid w:val="2611E30C"/>
    <w:rsid w:val="2628E0FB"/>
    <w:rsid w:val="2672436E"/>
    <w:rsid w:val="2679AD71"/>
    <w:rsid w:val="26AF440C"/>
    <w:rsid w:val="26C70711"/>
    <w:rsid w:val="26CDF955"/>
    <w:rsid w:val="26E57E6B"/>
    <w:rsid w:val="26EC628E"/>
    <w:rsid w:val="26FF4E28"/>
    <w:rsid w:val="2726840D"/>
    <w:rsid w:val="2737857F"/>
    <w:rsid w:val="27608A59"/>
    <w:rsid w:val="277DEBB2"/>
    <w:rsid w:val="27CD4D5B"/>
    <w:rsid w:val="27D45311"/>
    <w:rsid w:val="28008D5F"/>
    <w:rsid w:val="28072CC8"/>
    <w:rsid w:val="2820F97F"/>
    <w:rsid w:val="286A55B4"/>
    <w:rsid w:val="287C53BA"/>
    <w:rsid w:val="28C1A8CF"/>
    <w:rsid w:val="28CF6DB9"/>
    <w:rsid w:val="28D7C1A5"/>
    <w:rsid w:val="28E05529"/>
    <w:rsid w:val="28F59ADF"/>
    <w:rsid w:val="290BF1B8"/>
    <w:rsid w:val="2917C878"/>
    <w:rsid w:val="291A78F2"/>
    <w:rsid w:val="29283051"/>
    <w:rsid w:val="2944D7D4"/>
    <w:rsid w:val="294B35EC"/>
    <w:rsid w:val="2951B2E1"/>
    <w:rsid w:val="29668137"/>
    <w:rsid w:val="296B0001"/>
    <w:rsid w:val="299AF9A9"/>
    <w:rsid w:val="2A1497BA"/>
    <w:rsid w:val="2A1DBA36"/>
    <w:rsid w:val="2AB11432"/>
    <w:rsid w:val="2AB7E3DA"/>
    <w:rsid w:val="2AD82C42"/>
    <w:rsid w:val="2AD96EC5"/>
    <w:rsid w:val="2AEF0C8E"/>
    <w:rsid w:val="2AF58CC1"/>
    <w:rsid w:val="2AF82214"/>
    <w:rsid w:val="2B0C8A94"/>
    <w:rsid w:val="2B176D16"/>
    <w:rsid w:val="2B788909"/>
    <w:rsid w:val="2BF97984"/>
    <w:rsid w:val="2C1A5D11"/>
    <w:rsid w:val="2C24C1F7"/>
    <w:rsid w:val="2C275917"/>
    <w:rsid w:val="2C4071BF"/>
    <w:rsid w:val="2C51F8A1"/>
    <w:rsid w:val="2CDF6DE5"/>
    <w:rsid w:val="2CE4E0BF"/>
    <w:rsid w:val="2D2B0E4B"/>
    <w:rsid w:val="2D44C4D5"/>
    <w:rsid w:val="2D459712"/>
    <w:rsid w:val="2D53AC03"/>
    <w:rsid w:val="2D541F9E"/>
    <w:rsid w:val="2D5B1682"/>
    <w:rsid w:val="2D5EE60C"/>
    <w:rsid w:val="2D72E9BD"/>
    <w:rsid w:val="2D7AB288"/>
    <w:rsid w:val="2DB8539E"/>
    <w:rsid w:val="2DC4809F"/>
    <w:rsid w:val="2DC6D8FD"/>
    <w:rsid w:val="2DC6E1E9"/>
    <w:rsid w:val="2DCC57FA"/>
    <w:rsid w:val="2DE9B0DD"/>
    <w:rsid w:val="2E27F88A"/>
    <w:rsid w:val="2E32C485"/>
    <w:rsid w:val="2E4C10FC"/>
    <w:rsid w:val="2E51690D"/>
    <w:rsid w:val="2E79271B"/>
    <w:rsid w:val="2E802E08"/>
    <w:rsid w:val="2E817822"/>
    <w:rsid w:val="2EAB15C7"/>
    <w:rsid w:val="2F06A6F4"/>
    <w:rsid w:val="2F0A41B5"/>
    <w:rsid w:val="2F31A278"/>
    <w:rsid w:val="2F3A9ED2"/>
    <w:rsid w:val="2F43923C"/>
    <w:rsid w:val="2F69D168"/>
    <w:rsid w:val="2F7903FD"/>
    <w:rsid w:val="2FA57E84"/>
    <w:rsid w:val="2FA868D1"/>
    <w:rsid w:val="2FACD70B"/>
    <w:rsid w:val="2FB2DF0A"/>
    <w:rsid w:val="2FC7C35D"/>
    <w:rsid w:val="2FD6CE5E"/>
    <w:rsid w:val="2FDCA908"/>
    <w:rsid w:val="2FF1B5C0"/>
    <w:rsid w:val="30440CC3"/>
    <w:rsid w:val="3058B9DF"/>
    <w:rsid w:val="308BFF45"/>
    <w:rsid w:val="309048EA"/>
    <w:rsid w:val="309E8A7D"/>
    <w:rsid w:val="30A1CA92"/>
    <w:rsid w:val="30A224C8"/>
    <w:rsid w:val="30A2F5B9"/>
    <w:rsid w:val="30D86BB0"/>
    <w:rsid w:val="30EDE1BF"/>
    <w:rsid w:val="30F7F105"/>
    <w:rsid w:val="3125CB6C"/>
    <w:rsid w:val="31293FA9"/>
    <w:rsid w:val="31419837"/>
    <w:rsid w:val="319FAA5E"/>
    <w:rsid w:val="31A4E8B5"/>
    <w:rsid w:val="31AA959C"/>
    <w:rsid w:val="31ACFE1F"/>
    <w:rsid w:val="31F63FA9"/>
    <w:rsid w:val="32121871"/>
    <w:rsid w:val="32893B00"/>
    <w:rsid w:val="3294A6CF"/>
    <w:rsid w:val="32AC92C7"/>
    <w:rsid w:val="32FA3587"/>
    <w:rsid w:val="330C3880"/>
    <w:rsid w:val="33363C77"/>
    <w:rsid w:val="3347658B"/>
    <w:rsid w:val="336FBF39"/>
    <w:rsid w:val="3392C7C3"/>
    <w:rsid w:val="339C0101"/>
    <w:rsid w:val="33CFDBCF"/>
    <w:rsid w:val="340365DE"/>
    <w:rsid w:val="3442B3DD"/>
    <w:rsid w:val="34661A38"/>
    <w:rsid w:val="3475D354"/>
    <w:rsid w:val="3489D67D"/>
    <w:rsid w:val="34A208E5"/>
    <w:rsid w:val="350D0959"/>
    <w:rsid w:val="351046B9"/>
    <w:rsid w:val="3528664B"/>
    <w:rsid w:val="3559501E"/>
    <w:rsid w:val="356C1437"/>
    <w:rsid w:val="357D7C9A"/>
    <w:rsid w:val="3594A870"/>
    <w:rsid w:val="35C481D5"/>
    <w:rsid w:val="35CE6276"/>
    <w:rsid w:val="35D3CFC3"/>
    <w:rsid w:val="360CF3A8"/>
    <w:rsid w:val="3660177C"/>
    <w:rsid w:val="36640ABE"/>
    <w:rsid w:val="366AB610"/>
    <w:rsid w:val="36A30C30"/>
    <w:rsid w:val="36AB725E"/>
    <w:rsid w:val="36B7712C"/>
    <w:rsid w:val="36BE26E1"/>
    <w:rsid w:val="36DE0193"/>
    <w:rsid w:val="37345B1E"/>
    <w:rsid w:val="375CBC40"/>
    <w:rsid w:val="37844F18"/>
    <w:rsid w:val="37A0826D"/>
    <w:rsid w:val="37B88F85"/>
    <w:rsid w:val="37D69BD3"/>
    <w:rsid w:val="37F21934"/>
    <w:rsid w:val="3811C855"/>
    <w:rsid w:val="381A6FD5"/>
    <w:rsid w:val="382F4732"/>
    <w:rsid w:val="38EA5A38"/>
    <w:rsid w:val="39001ABD"/>
    <w:rsid w:val="39119897"/>
    <w:rsid w:val="394586B2"/>
    <w:rsid w:val="395A5B19"/>
    <w:rsid w:val="39944AF3"/>
    <w:rsid w:val="3996955C"/>
    <w:rsid w:val="39C723A4"/>
    <w:rsid w:val="39CD489D"/>
    <w:rsid w:val="39DA050C"/>
    <w:rsid w:val="3A132DD8"/>
    <w:rsid w:val="3A5A55B2"/>
    <w:rsid w:val="3A6D44FC"/>
    <w:rsid w:val="3A856240"/>
    <w:rsid w:val="3A8B79C1"/>
    <w:rsid w:val="3A9E2890"/>
    <w:rsid w:val="3AA66B70"/>
    <w:rsid w:val="3ABE1FC9"/>
    <w:rsid w:val="3AC9703B"/>
    <w:rsid w:val="3AD4E324"/>
    <w:rsid w:val="3AD6FC5F"/>
    <w:rsid w:val="3B08F414"/>
    <w:rsid w:val="3B0DC2BF"/>
    <w:rsid w:val="3B329B9D"/>
    <w:rsid w:val="3B3A3374"/>
    <w:rsid w:val="3B57DC2B"/>
    <w:rsid w:val="3B9D9D87"/>
    <w:rsid w:val="3BBBA5CA"/>
    <w:rsid w:val="3BBF6EAE"/>
    <w:rsid w:val="3C1B8064"/>
    <w:rsid w:val="3C436B29"/>
    <w:rsid w:val="3C7C5A90"/>
    <w:rsid w:val="3C99C6A6"/>
    <w:rsid w:val="3CA68852"/>
    <w:rsid w:val="3CDE6F39"/>
    <w:rsid w:val="3D058FFC"/>
    <w:rsid w:val="3D2B4BB7"/>
    <w:rsid w:val="3D2CBB7A"/>
    <w:rsid w:val="3D3172AF"/>
    <w:rsid w:val="3D90ECA9"/>
    <w:rsid w:val="3DCF653B"/>
    <w:rsid w:val="3DED912B"/>
    <w:rsid w:val="3E2D3AC9"/>
    <w:rsid w:val="3E3513C4"/>
    <w:rsid w:val="3E4AF916"/>
    <w:rsid w:val="3E4F5172"/>
    <w:rsid w:val="3EBDB615"/>
    <w:rsid w:val="3EC67618"/>
    <w:rsid w:val="3EC68299"/>
    <w:rsid w:val="3ED3E86B"/>
    <w:rsid w:val="3EFBE0F2"/>
    <w:rsid w:val="3F04E6DA"/>
    <w:rsid w:val="3F11F852"/>
    <w:rsid w:val="3F2B1EAF"/>
    <w:rsid w:val="3F499B8E"/>
    <w:rsid w:val="3F639685"/>
    <w:rsid w:val="3F95D60B"/>
    <w:rsid w:val="3FA7A62B"/>
    <w:rsid w:val="3FB35365"/>
    <w:rsid w:val="3FBB7EC9"/>
    <w:rsid w:val="3FC5707F"/>
    <w:rsid w:val="3FCB029E"/>
    <w:rsid w:val="3FEC8374"/>
    <w:rsid w:val="40366B5B"/>
    <w:rsid w:val="4039F0E2"/>
    <w:rsid w:val="404A35E8"/>
    <w:rsid w:val="406A2B76"/>
    <w:rsid w:val="40779C52"/>
    <w:rsid w:val="4090BD1D"/>
    <w:rsid w:val="40DA97A1"/>
    <w:rsid w:val="40EACA75"/>
    <w:rsid w:val="40FC403E"/>
    <w:rsid w:val="411E4651"/>
    <w:rsid w:val="411F653F"/>
    <w:rsid w:val="413EAC73"/>
    <w:rsid w:val="414ABBD9"/>
    <w:rsid w:val="414F484E"/>
    <w:rsid w:val="41542634"/>
    <w:rsid w:val="4197CDF3"/>
    <w:rsid w:val="41AC9094"/>
    <w:rsid w:val="41D8DB9C"/>
    <w:rsid w:val="41FAB26A"/>
    <w:rsid w:val="42259BEA"/>
    <w:rsid w:val="423E5FFD"/>
    <w:rsid w:val="43079FE9"/>
    <w:rsid w:val="43167195"/>
    <w:rsid w:val="432E6072"/>
    <w:rsid w:val="436DCA19"/>
    <w:rsid w:val="437842FE"/>
    <w:rsid w:val="438190AB"/>
    <w:rsid w:val="43B855B5"/>
    <w:rsid w:val="43C72EAC"/>
    <w:rsid w:val="43F71E80"/>
    <w:rsid w:val="43FECB7C"/>
    <w:rsid w:val="4405FFCC"/>
    <w:rsid w:val="440BB101"/>
    <w:rsid w:val="44172533"/>
    <w:rsid w:val="449887BF"/>
    <w:rsid w:val="44BDF024"/>
    <w:rsid w:val="44DC153F"/>
    <w:rsid w:val="450BEE32"/>
    <w:rsid w:val="450DDC4E"/>
    <w:rsid w:val="4522A8FA"/>
    <w:rsid w:val="45380000"/>
    <w:rsid w:val="455EBC60"/>
    <w:rsid w:val="456352CE"/>
    <w:rsid w:val="45788CA0"/>
    <w:rsid w:val="45823E7C"/>
    <w:rsid w:val="4598D3E0"/>
    <w:rsid w:val="45A89591"/>
    <w:rsid w:val="45AB1B36"/>
    <w:rsid w:val="45BAB59C"/>
    <w:rsid w:val="45D71DF6"/>
    <w:rsid w:val="460ACE89"/>
    <w:rsid w:val="4624CD18"/>
    <w:rsid w:val="464DFC8B"/>
    <w:rsid w:val="465760C6"/>
    <w:rsid w:val="4668A75E"/>
    <w:rsid w:val="467A7A25"/>
    <w:rsid w:val="46A9B32F"/>
    <w:rsid w:val="46C8D335"/>
    <w:rsid w:val="46FCF7A7"/>
    <w:rsid w:val="4723DED0"/>
    <w:rsid w:val="47788E53"/>
    <w:rsid w:val="477E0FE9"/>
    <w:rsid w:val="47AFE317"/>
    <w:rsid w:val="47CF4BA3"/>
    <w:rsid w:val="480947C2"/>
    <w:rsid w:val="482A2817"/>
    <w:rsid w:val="485F541C"/>
    <w:rsid w:val="48653985"/>
    <w:rsid w:val="487BEFEC"/>
    <w:rsid w:val="48823429"/>
    <w:rsid w:val="48B394BC"/>
    <w:rsid w:val="48D4BF87"/>
    <w:rsid w:val="48DF034D"/>
    <w:rsid w:val="48F1DB43"/>
    <w:rsid w:val="48F26A53"/>
    <w:rsid w:val="492CB2FB"/>
    <w:rsid w:val="49395CDA"/>
    <w:rsid w:val="493E4023"/>
    <w:rsid w:val="4956D14D"/>
    <w:rsid w:val="49621FC3"/>
    <w:rsid w:val="497403F0"/>
    <w:rsid w:val="498FF1E3"/>
    <w:rsid w:val="499BF077"/>
    <w:rsid w:val="49BCB8BA"/>
    <w:rsid w:val="4A664514"/>
    <w:rsid w:val="4A686355"/>
    <w:rsid w:val="4AB613E6"/>
    <w:rsid w:val="4AC7A68E"/>
    <w:rsid w:val="4AF020A6"/>
    <w:rsid w:val="4AF536A5"/>
    <w:rsid w:val="4B304FBD"/>
    <w:rsid w:val="4B435634"/>
    <w:rsid w:val="4B4C9E2E"/>
    <w:rsid w:val="4B5663A3"/>
    <w:rsid w:val="4B578BCB"/>
    <w:rsid w:val="4B779386"/>
    <w:rsid w:val="4B964BF7"/>
    <w:rsid w:val="4BD9537C"/>
    <w:rsid w:val="4C31DB39"/>
    <w:rsid w:val="4C42D336"/>
    <w:rsid w:val="4C822F3F"/>
    <w:rsid w:val="4CBB0700"/>
    <w:rsid w:val="4CC0EE98"/>
    <w:rsid w:val="4D386324"/>
    <w:rsid w:val="4D53BCD4"/>
    <w:rsid w:val="4D640B6D"/>
    <w:rsid w:val="4D7F8730"/>
    <w:rsid w:val="4DA080D8"/>
    <w:rsid w:val="4DBBD906"/>
    <w:rsid w:val="4DCB6BD1"/>
    <w:rsid w:val="4DD50DDE"/>
    <w:rsid w:val="4DE52B72"/>
    <w:rsid w:val="4DF914EA"/>
    <w:rsid w:val="4DFBE8D2"/>
    <w:rsid w:val="4E2C6B80"/>
    <w:rsid w:val="4E418A0E"/>
    <w:rsid w:val="4E62350A"/>
    <w:rsid w:val="4E6D3D7A"/>
    <w:rsid w:val="4E7EAE19"/>
    <w:rsid w:val="4E9D589B"/>
    <w:rsid w:val="4EF6A04D"/>
    <w:rsid w:val="4F00AA74"/>
    <w:rsid w:val="4F122A8D"/>
    <w:rsid w:val="4F12BE33"/>
    <w:rsid w:val="4F1937A3"/>
    <w:rsid w:val="4F291575"/>
    <w:rsid w:val="4F386F9E"/>
    <w:rsid w:val="4F470035"/>
    <w:rsid w:val="4F5E787E"/>
    <w:rsid w:val="4F7ABC77"/>
    <w:rsid w:val="4FA26C1B"/>
    <w:rsid w:val="4FC95936"/>
    <w:rsid w:val="4FDBC023"/>
    <w:rsid w:val="5005FCA9"/>
    <w:rsid w:val="502F9B67"/>
    <w:rsid w:val="504832CF"/>
    <w:rsid w:val="50D4EF58"/>
    <w:rsid w:val="50F774FD"/>
    <w:rsid w:val="5102942C"/>
    <w:rsid w:val="51072EC9"/>
    <w:rsid w:val="5111BDBF"/>
    <w:rsid w:val="5114CE8F"/>
    <w:rsid w:val="5129D2CA"/>
    <w:rsid w:val="514079C1"/>
    <w:rsid w:val="5143C02C"/>
    <w:rsid w:val="515A5497"/>
    <w:rsid w:val="51A36117"/>
    <w:rsid w:val="51C56E6B"/>
    <w:rsid w:val="5230BA3C"/>
    <w:rsid w:val="52363646"/>
    <w:rsid w:val="525D4ECF"/>
    <w:rsid w:val="5276763B"/>
    <w:rsid w:val="5286192A"/>
    <w:rsid w:val="52964CA0"/>
    <w:rsid w:val="52C21670"/>
    <w:rsid w:val="52C8BA74"/>
    <w:rsid w:val="52D1F240"/>
    <w:rsid w:val="52D809B8"/>
    <w:rsid w:val="52DCBDE2"/>
    <w:rsid w:val="52E2CAC2"/>
    <w:rsid w:val="52F39FFF"/>
    <w:rsid w:val="52FAD38E"/>
    <w:rsid w:val="53200950"/>
    <w:rsid w:val="53242D6C"/>
    <w:rsid w:val="537434B5"/>
    <w:rsid w:val="53DA545B"/>
    <w:rsid w:val="53F2DEAC"/>
    <w:rsid w:val="546BA352"/>
    <w:rsid w:val="548CEF9C"/>
    <w:rsid w:val="549B958D"/>
    <w:rsid w:val="54A51E34"/>
    <w:rsid w:val="54A7B8BF"/>
    <w:rsid w:val="54C35A4B"/>
    <w:rsid w:val="54DA7B52"/>
    <w:rsid w:val="5539D943"/>
    <w:rsid w:val="554C5A2B"/>
    <w:rsid w:val="555E2CF8"/>
    <w:rsid w:val="557DBCC3"/>
    <w:rsid w:val="55A6D7B1"/>
    <w:rsid w:val="55C85725"/>
    <w:rsid w:val="55E92285"/>
    <w:rsid w:val="55ED1DE0"/>
    <w:rsid w:val="561D1D18"/>
    <w:rsid w:val="56A75E98"/>
    <w:rsid w:val="56C6644E"/>
    <w:rsid w:val="56C8575B"/>
    <w:rsid w:val="56D94011"/>
    <w:rsid w:val="5745AFA2"/>
    <w:rsid w:val="574BCB74"/>
    <w:rsid w:val="57721BFA"/>
    <w:rsid w:val="577B5E20"/>
    <w:rsid w:val="579C0289"/>
    <w:rsid w:val="57E662C2"/>
    <w:rsid w:val="57FC666D"/>
    <w:rsid w:val="580EB4B7"/>
    <w:rsid w:val="58334A0D"/>
    <w:rsid w:val="583FBD29"/>
    <w:rsid w:val="584DC0AD"/>
    <w:rsid w:val="587426CB"/>
    <w:rsid w:val="587B87B3"/>
    <w:rsid w:val="58817004"/>
    <w:rsid w:val="58A4FA21"/>
    <w:rsid w:val="58D83892"/>
    <w:rsid w:val="590C36DD"/>
    <w:rsid w:val="590D42FA"/>
    <w:rsid w:val="594219E7"/>
    <w:rsid w:val="594D7CE8"/>
    <w:rsid w:val="5975ECAB"/>
    <w:rsid w:val="59A318C8"/>
    <w:rsid w:val="59E85331"/>
    <w:rsid w:val="59EDB1C5"/>
    <w:rsid w:val="59F893EB"/>
    <w:rsid w:val="5A0FBCEB"/>
    <w:rsid w:val="5A29FA8F"/>
    <w:rsid w:val="5A33F34B"/>
    <w:rsid w:val="5A4D66AD"/>
    <w:rsid w:val="5A4FE947"/>
    <w:rsid w:val="5A7C91B5"/>
    <w:rsid w:val="5AA01B9E"/>
    <w:rsid w:val="5AABC9C1"/>
    <w:rsid w:val="5AC6261E"/>
    <w:rsid w:val="5AD66134"/>
    <w:rsid w:val="5AD8D896"/>
    <w:rsid w:val="5AE7CC03"/>
    <w:rsid w:val="5B1D7225"/>
    <w:rsid w:val="5B2F42CB"/>
    <w:rsid w:val="5B35E7CC"/>
    <w:rsid w:val="5B5C2807"/>
    <w:rsid w:val="5BD937D7"/>
    <w:rsid w:val="5C185BA7"/>
    <w:rsid w:val="5C294879"/>
    <w:rsid w:val="5C3F98E8"/>
    <w:rsid w:val="5C8FE9A8"/>
    <w:rsid w:val="5C95464D"/>
    <w:rsid w:val="5CBBB5B3"/>
    <w:rsid w:val="5CBE3290"/>
    <w:rsid w:val="5D0C026D"/>
    <w:rsid w:val="5D239025"/>
    <w:rsid w:val="5D5701DE"/>
    <w:rsid w:val="5D87CFB8"/>
    <w:rsid w:val="5D8F8AEB"/>
    <w:rsid w:val="5DAEB4AA"/>
    <w:rsid w:val="5DDDDEA0"/>
    <w:rsid w:val="5DE65B9B"/>
    <w:rsid w:val="5DE66002"/>
    <w:rsid w:val="5DF42EBB"/>
    <w:rsid w:val="5DF9E449"/>
    <w:rsid w:val="5E01C176"/>
    <w:rsid w:val="5E27BFBC"/>
    <w:rsid w:val="5E3375C7"/>
    <w:rsid w:val="5E47F3BC"/>
    <w:rsid w:val="5E5B91CC"/>
    <w:rsid w:val="5E681BF0"/>
    <w:rsid w:val="5E8D0282"/>
    <w:rsid w:val="5EA18804"/>
    <w:rsid w:val="5EB48EDF"/>
    <w:rsid w:val="5EC32D67"/>
    <w:rsid w:val="5EE699AB"/>
    <w:rsid w:val="5F06BE29"/>
    <w:rsid w:val="5F0D1FCF"/>
    <w:rsid w:val="5F4B5811"/>
    <w:rsid w:val="5F7C6F84"/>
    <w:rsid w:val="5F846A83"/>
    <w:rsid w:val="5F8AFD62"/>
    <w:rsid w:val="6007187E"/>
    <w:rsid w:val="6013551F"/>
    <w:rsid w:val="6013C381"/>
    <w:rsid w:val="6021BC6F"/>
    <w:rsid w:val="604CEF85"/>
    <w:rsid w:val="60688CBF"/>
    <w:rsid w:val="607B0C74"/>
    <w:rsid w:val="60812963"/>
    <w:rsid w:val="60911586"/>
    <w:rsid w:val="60A495DE"/>
    <w:rsid w:val="60EC0C34"/>
    <w:rsid w:val="60F4F9CC"/>
    <w:rsid w:val="610A1F4E"/>
    <w:rsid w:val="6113E808"/>
    <w:rsid w:val="612FC64D"/>
    <w:rsid w:val="61367C60"/>
    <w:rsid w:val="613C12FF"/>
    <w:rsid w:val="61440722"/>
    <w:rsid w:val="61839B15"/>
    <w:rsid w:val="61957BBF"/>
    <w:rsid w:val="61B0CB1F"/>
    <w:rsid w:val="61FD899A"/>
    <w:rsid w:val="62044F96"/>
    <w:rsid w:val="622188A0"/>
    <w:rsid w:val="62479DFF"/>
    <w:rsid w:val="626008F2"/>
    <w:rsid w:val="628410C9"/>
    <w:rsid w:val="62C64CAD"/>
    <w:rsid w:val="630F02C1"/>
    <w:rsid w:val="63327BC3"/>
    <w:rsid w:val="63852B3A"/>
    <w:rsid w:val="63B8899C"/>
    <w:rsid w:val="63CAA177"/>
    <w:rsid w:val="63FBF413"/>
    <w:rsid w:val="6418BBBA"/>
    <w:rsid w:val="6418E199"/>
    <w:rsid w:val="644FDD50"/>
    <w:rsid w:val="64738383"/>
    <w:rsid w:val="648B4B2B"/>
    <w:rsid w:val="64B55238"/>
    <w:rsid w:val="64C19213"/>
    <w:rsid w:val="64E4B349"/>
    <w:rsid w:val="64E54717"/>
    <w:rsid w:val="64F43B02"/>
    <w:rsid w:val="656074AB"/>
    <w:rsid w:val="656A9EE0"/>
    <w:rsid w:val="6578B09E"/>
    <w:rsid w:val="65AB39E0"/>
    <w:rsid w:val="65D46445"/>
    <w:rsid w:val="6640F807"/>
    <w:rsid w:val="66771782"/>
    <w:rsid w:val="6682A86C"/>
    <w:rsid w:val="66DFB28C"/>
    <w:rsid w:val="67291CAC"/>
    <w:rsid w:val="6729D177"/>
    <w:rsid w:val="674CCA23"/>
    <w:rsid w:val="67945D36"/>
    <w:rsid w:val="67A46C5C"/>
    <w:rsid w:val="67CCA56E"/>
    <w:rsid w:val="67EA994D"/>
    <w:rsid w:val="6802D96F"/>
    <w:rsid w:val="6824CCA7"/>
    <w:rsid w:val="683FA914"/>
    <w:rsid w:val="685F9EB3"/>
    <w:rsid w:val="6880F617"/>
    <w:rsid w:val="688356D5"/>
    <w:rsid w:val="68986B90"/>
    <w:rsid w:val="68DA9A50"/>
    <w:rsid w:val="68DF4B04"/>
    <w:rsid w:val="68DFA68A"/>
    <w:rsid w:val="68E9F600"/>
    <w:rsid w:val="68FAE27D"/>
    <w:rsid w:val="68FE2A24"/>
    <w:rsid w:val="6916E261"/>
    <w:rsid w:val="69555472"/>
    <w:rsid w:val="697DC4F3"/>
    <w:rsid w:val="697F929A"/>
    <w:rsid w:val="6995F904"/>
    <w:rsid w:val="69963957"/>
    <w:rsid w:val="69A19847"/>
    <w:rsid w:val="69D98F16"/>
    <w:rsid w:val="69EEFFD5"/>
    <w:rsid w:val="69FB7DBF"/>
    <w:rsid w:val="6A1FBE76"/>
    <w:rsid w:val="6A20CAAA"/>
    <w:rsid w:val="6A440F71"/>
    <w:rsid w:val="6A4F7CB0"/>
    <w:rsid w:val="6A57BA43"/>
    <w:rsid w:val="6A5E5441"/>
    <w:rsid w:val="6A833B19"/>
    <w:rsid w:val="6ACCD24F"/>
    <w:rsid w:val="6AE1999D"/>
    <w:rsid w:val="6B0D00A8"/>
    <w:rsid w:val="6B80CD88"/>
    <w:rsid w:val="6B8FE88F"/>
    <w:rsid w:val="6BB3D9B3"/>
    <w:rsid w:val="6BB67D87"/>
    <w:rsid w:val="6C3B1D23"/>
    <w:rsid w:val="6C465CB4"/>
    <w:rsid w:val="6C5EF69F"/>
    <w:rsid w:val="6C7F0A50"/>
    <w:rsid w:val="6C8CCCFB"/>
    <w:rsid w:val="6CB0B609"/>
    <w:rsid w:val="6CBA4D9A"/>
    <w:rsid w:val="6D099E79"/>
    <w:rsid w:val="6D510CE1"/>
    <w:rsid w:val="6D577DC9"/>
    <w:rsid w:val="6D5A4DFF"/>
    <w:rsid w:val="6DBCF75A"/>
    <w:rsid w:val="6DDCBA0E"/>
    <w:rsid w:val="6DEFEDA8"/>
    <w:rsid w:val="6E049903"/>
    <w:rsid w:val="6E288E68"/>
    <w:rsid w:val="6E383462"/>
    <w:rsid w:val="6E59094F"/>
    <w:rsid w:val="6E9D3E22"/>
    <w:rsid w:val="6EB8FA59"/>
    <w:rsid w:val="6F096CBE"/>
    <w:rsid w:val="6F1DC65C"/>
    <w:rsid w:val="6F47E8DC"/>
    <w:rsid w:val="6F5301F3"/>
    <w:rsid w:val="6F6F4CDA"/>
    <w:rsid w:val="6FA0E5F5"/>
    <w:rsid w:val="6FB38C6F"/>
    <w:rsid w:val="6FCF1343"/>
    <w:rsid w:val="6FDEE0B5"/>
    <w:rsid w:val="6FEFD8C4"/>
    <w:rsid w:val="6FFEBC45"/>
    <w:rsid w:val="700555B5"/>
    <w:rsid w:val="7034886A"/>
    <w:rsid w:val="703E4E4C"/>
    <w:rsid w:val="704D3FF2"/>
    <w:rsid w:val="706083E0"/>
    <w:rsid w:val="706152A2"/>
    <w:rsid w:val="706F7638"/>
    <w:rsid w:val="708DAE39"/>
    <w:rsid w:val="70ADE4C8"/>
    <w:rsid w:val="70C8DC7E"/>
    <w:rsid w:val="70CEA191"/>
    <w:rsid w:val="70D2871E"/>
    <w:rsid w:val="70E74F9F"/>
    <w:rsid w:val="70E8E0C6"/>
    <w:rsid w:val="7132DEAF"/>
    <w:rsid w:val="71424FDE"/>
    <w:rsid w:val="714F6DBC"/>
    <w:rsid w:val="7168C0B3"/>
    <w:rsid w:val="718CB45F"/>
    <w:rsid w:val="719134A4"/>
    <w:rsid w:val="71A22F8B"/>
    <w:rsid w:val="71F710FB"/>
    <w:rsid w:val="72085667"/>
    <w:rsid w:val="72193990"/>
    <w:rsid w:val="72279A68"/>
    <w:rsid w:val="72336EB6"/>
    <w:rsid w:val="72559E20"/>
    <w:rsid w:val="7277449F"/>
    <w:rsid w:val="727DC881"/>
    <w:rsid w:val="72A10524"/>
    <w:rsid w:val="72B9FD5F"/>
    <w:rsid w:val="72CD7A3F"/>
    <w:rsid w:val="72ED1D53"/>
    <w:rsid w:val="72F9B266"/>
    <w:rsid w:val="730FA560"/>
    <w:rsid w:val="731E5E7F"/>
    <w:rsid w:val="7343C3BD"/>
    <w:rsid w:val="73693B78"/>
    <w:rsid w:val="738D4B38"/>
    <w:rsid w:val="739C3DED"/>
    <w:rsid w:val="73A805B0"/>
    <w:rsid w:val="73C60E22"/>
    <w:rsid w:val="73C87AB7"/>
    <w:rsid w:val="73D9C30A"/>
    <w:rsid w:val="73DEE9FA"/>
    <w:rsid w:val="740EBFE0"/>
    <w:rsid w:val="741D0806"/>
    <w:rsid w:val="743C3042"/>
    <w:rsid w:val="747C0E8A"/>
    <w:rsid w:val="747D698A"/>
    <w:rsid w:val="75045C77"/>
    <w:rsid w:val="751A44BC"/>
    <w:rsid w:val="751F61B0"/>
    <w:rsid w:val="75307F82"/>
    <w:rsid w:val="754DD908"/>
    <w:rsid w:val="7558D041"/>
    <w:rsid w:val="757BE720"/>
    <w:rsid w:val="75CA04CC"/>
    <w:rsid w:val="76200094"/>
    <w:rsid w:val="76257946"/>
    <w:rsid w:val="762B810E"/>
    <w:rsid w:val="7642D15E"/>
    <w:rsid w:val="7643286F"/>
    <w:rsid w:val="76468DBB"/>
    <w:rsid w:val="7654C1E4"/>
    <w:rsid w:val="766A199A"/>
    <w:rsid w:val="766B3D1E"/>
    <w:rsid w:val="7672A7C9"/>
    <w:rsid w:val="7675F842"/>
    <w:rsid w:val="7698C01E"/>
    <w:rsid w:val="769C838F"/>
    <w:rsid w:val="76B9999D"/>
    <w:rsid w:val="76BA54D2"/>
    <w:rsid w:val="76E2D584"/>
    <w:rsid w:val="77161FEE"/>
    <w:rsid w:val="776061B7"/>
    <w:rsid w:val="77894063"/>
    <w:rsid w:val="77AB843A"/>
    <w:rsid w:val="77D26F9F"/>
    <w:rsid w:val="77F99A34"/>
    <w:rsid w:val="7873FB33"/>
    <w:rsid w:val="789349C3"/>
    <w:rsid w:val="78DBA393"/>
    <w:rsid w:val="78E1578D"/>
    <w:rsid w:val="78E6DC9B"/>
    <w:rsid w:val="78E6F0BD"/>
    <w:rsid w:val="79089625"/>
    <w:rsid w:val="7939920D"/>
    <w:rsid w:val="796A9ACC"/>
    <w:rsid w:val="79AC66C3"/>
    <w:rsid w:val="79C11FFE"/>
    <w:rsid w:val="79DDD9D1"/>
    <w:rsid w:val="79F79705"/>
    <w:rsid w:val="7A27BA66"/>
    <w:rsid w:val="7A3B0F63"/>
    <w:rsid w:val="7A4ED76B"/>
    <w:rsid w:val="7A93C3AD"/>
    <w:rsid w:val="7A93C5AE"/>
    <w:rsid w:val="7A93CCA9"/>
    <w:rsid w:val="7ABB3B24"/>
    <w:rsid w:val="7ACB1AC6"/>
    <w:rsid w:val="7B17478E"/>
    <w:rsid w:val="7B45D93D"/>
    <w:rsid w:val="7B4C2A57"/>
    <w:rsid w:val="7B579FBF"/>
    <w:rsid w:val="7B7C3B4F"/>
    <w:rsid w:val="7B859A9C"/>
    <w:rsid w:val="7BAB2853"/>
    <w:rsid w:val="7BAC36E0"/>
    <w:rsid w:val="7BCB20CF"/>
    <w:rsid w:val="7BE85F05"/>
    <w:rsid w:val="7BEF5FB2"/>
    <w:rsid w:val="7BF0BA49"/>
    <w:rsid w:val="7C418467"/>
    <w:rsid w:val="7CDE1AD7"/>
    <w:rsid w:val="7CE70BD2"/>
    <w:rsid w:val="7D147C16"/>
    <w:rsid w:val="7D1DEF01"/>
    <w:rsid w:val="7D3CAC5B"/>
    <w:rsid w:val="7D40A0F9"/>
    <w:rsid w:val="7D49BF5B"/>
    <w:rsid w:val="7D985EDA"/>
    <w:rsid w:val="7DC65E35"/>
    <w:rsid w:val="7DD8088D"/>
    <w:rsid w:val="7DEA6EEB"/>
    <w:rsid w:val="7DEB5D21"/>
    <w:rsid w:val="7E3FD611"/>
    <w:rsid w:val="7E7D908D"/>
    <w:rsid w:val="7E831179"/>
    <w:rsid w:val="7E8AE9DD"/>
    <w:rsid w:val="7E91CB54"/>
    <w:rsid w:val="7E9F2A57"/>
    <w:rsid w:val="7EAFCAD9"/>
    <w:rsid w:val="7EBB3B26"/>
    <w:rsid w:val="7ED2ADE0"/>
    <w:rsid w:val="7ED3B4A4"/>
    <w:rsid w:val="7F2F56FC"/>
    <w:rsid w:val="7F48DE07"/>
    <w:rsid w:val="7F8AF32C"/>
    <w:rsid w:val="7FC24F53"/>
    <w:rsid w:val="7FDC2752"/>
    <w:rsid w:val="7FFBED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02FB"/>
  <w15:chartTrackingRefBased/>
  <w15:docId w15:val="{EA690B8C-114D-4135-9EEB-804E53CF2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D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DAC"/>
    <w:rPr>
      <w:rFonts w:asciiTheme="majorHAnsi" w:eastAsiaTheme="majorEastAsia" w:hAnsiTheme="majorHAnsi" w:cstheme="majorBidi"/>
      <w:color w:val="2F5496" w:themeColor="accent1" w:themeShade="BF"/>
      <w:sz w:val="32"/>
      <w:szCs w:val="32"/>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L"/>
    <w:basedOn w:val="Normal"/>
    <w:link w:val="ListParagraphChar"/>
    <w:uiPriority w:val="34"/>
    <w:qFormat/>
    <w:rsid w:val="00EC4DAC"/>
    <w:pPr>
      <w:ind w:left="720"/>
      <w:contextualSpacing/>
    </w:pPr>
  </w:style>
  <w:style w:type="paragraph" w:styleId="Header">
    <w:name w:val="header"/>
    <w:basedOn w:val="Normal"/>
    <w:link w:val="HeaderChar"/>
    <w:uiPriority w:val="99"/>
    <w:unhideWhenUsed/>
    <w:rsid w:val="00B33C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CA3"/>
  </w:style>
  <w:style w:type="paragraph" w:styleId="Footer">
    <w:name w:val="footer"/>
    <w:basedOn w:val="Normal"/>
    <w:link w:val="FooterChar"/>
    <w:uiPriority w:val="99"/>
    <w:unhideWhenUsed/>
    <w:rsid w:val="00B33C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CA3"/>
  </w:style>
  <w:style w:type="paragraph" w:styleId="BalloonText">
    <w:name w:val="Balloon Text"/>
    <w:basedOn w:val="Normal"/>
    <w:link w:val="BalloonTextChar"/>
    <w:uiPriority w:val="99"/>
    <w:semiHidden/>
    <w:unhideWhenUsed/>
    <w:rsid w:val="004926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64E"/>
    <w:rPr>
      <w:rFonts w:ascii="Segoe UI" w:hAnsi="Segoe UI" w:cs="Segoe UI"/>
      <w:sz w:val="18"/>
      <w:szCs w:val="18"/>
    </w:rPr>
  </w:style>
  <w:style w:type="character" w:styleId="Hyperlink">
    <w:name w:val="Hyperlink"/>
    <w:basedOn w:val="DefaultParagraphFont"/>
    <w:uiPriority w:val="99"/>
    <w:unhideWhenUsed/>
    <w:rsid w:val="00A76BEA"/>
    <w:rPr>
      <w:color w:val="0563C1" w:themeColor="hyperlink"/>
      <w:u w:val="single"/>
    </w:rPr>
  </w:style>
  <w:style w:type="character" w:styleId="UnresolvedMention">
    <w:name w:val="Unresolved Mention"/>
    <w:basedOn w:val="DefaultParagraphFont"/>
    <w:uiPriority w:val="99"/>
    <w:semiHidden/>
    <w:unhideWhenUsed/>
    <w:rsid w:val="00A76BEA"/>
    <w:rPr>
      <w:color w:val="605E5C"/>
      <w:shd w:val="clear" w:color="auto" w:fill="E1DFDD"/>
    </w:rPr>
  </w:style>
  <w:style w:type="paragraph" w:styleId="FootnoteText">
    <w:name w:val="footnote text"/>
    <w:basedOn w:val="Normal"/>
    <w:link w:val="FootnoteTextChar"/>
    <w:uiPriority w:val="99"/>
    <w:semiHidden/>
    <w:unhideWhenUsed/>
    <w:rsid w:val="00C33E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3E8F"/>
    <w:rPr>
      <w:sz w:val="20"/>
      <w:szCs w:val="20"/>
    </w:rPr>
  </w:style>
  <w:style w:type="character" w:styleId="FootnoteReference">
    <w:name w:val="footnote reference"/>
    <w:basedOn w:val="DefaultParagraphFont"/>
    <w:uiPriority w:val="99"/>
    <w:semiHidden/>
    <w:unhideWhenUsed/>
    <w:rsid w:val="00C33E8F"/>
    <w:rPr>
      <w:vertAlign w:val="superscript"/>
    </w:rPr>
  </w:style>
  <w:style w:type="character" w:styleId="CommentReference">
    <w:name w:val="annotation reference"/>
    <w:basedOn w:val="DefaultParagraphFont"/>
    <w:uiPriority w:val="99"/>
    <w:semiHidden/>
    <w:unhideWhenUsed/>
    <w:rsid w:val="00793C71"/>
    <w:rPr>
      <w:sz w:val="16"/>
      <w:szCs w:val="16"/>
    </w:rPr>
  </w:style>
  <w:style w:type="paragraph" w:styleId="CommentText">
    <w:name w:val="annotation text"/>
    <w:basedOn w:val="Normal"/>
    <w:link w:val="CommentTextChar"/>
    <w:uiPriority w:val="99"/>
    <w:semiHidden/>
    <w:unhideWhenUsed/>
    <w:rsid w:val="00793C71"/>
    <w:pPr>
      <w:spacing w:line="240" w:lineRule="auto"/>
    </w:pPr>
    <w:rPr>
      <w:sz w:val="20"/>
      <w:szCs w:val="20"/>
    </w:rPr>
  </w:style>
  <w:style w:type="character" w:customStyle="1" w:styleId="CommentTextChar">
    <w:name w:val="Comment Text Char"/>
    <w:basedOn w:val="DefaultParagraphFont"/>
    <w:link w:val="CommentText"/>
    <w:uiPriority w:val="99"/>
    <w:semiHidden/>
    <w:rsid w:val="00793C71"/>
    <w:rPr>
      <w:sz w:val="20"/>
      <w:szCs w:val="20"/>
    </w:rPr>
  </w:style>
  <w:style w:type="paragraph" w:styleId="CommentSubject">
    <w:name w:val="annotation subject"/>
    <w:basedOn w:val="CommentText"/>
    <w:next w:val="CommentText"/>
    <w:link w:val="CommentSubjectChar"/>
    <w:uiPriority w:val="99"/>
    <w:semiHidden/>
    <w:unhideWhenUsed/>
    <w:rsid w:val="00793C71"/>
    <w:rPr>
      <w:b/>
      <w:bCs/>
    </w:rPr>
  </w:style>
  <w:style w:type="character" w:customStyle="1" w:styleId="CommentSubjectChar">
    <w:name w:val="Comment Subject Char"/>
    <w:basedOn w:val="CommentTextChar"/>
    <w:link w:val="CommentSubject"/>
    <w:uiPriority w:val="99"/>
    <w:semiHidden/>
    <w:rsid w:val="00793C71"/>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EE2DAC"/>
    <w:rPr>
      <w:color w:val="954F72" w:themeColor="followedHyperlink"/>
      <w:u w:val="single"/>
    </w:rPr>
  </w:style>
  <w:style w:type="paragraph" w:styleId="PlainText">
    <w:name w:val="Plain Text"/>
    <w:basedOn w:val="Normal"/>
    <w:link w:val="PlainTextChar"/>
    <w:uiPriority w:val="99"/>
    <w:unhideWhenUsed/>
    <w:rsid w:val="00342FC6"/>
    <w:pPr>
      <w:spacing w:after="0" w:line="240" w:lineRule="auto"/>
    </w:pPr>
    <w:rPr>
      <w:rFonts w:ascii="Arial" w:hAnsi="Arial"/>
      <w:sz w:val="24"/>
      <w:szCs w:val="21"/>
    </w:rPr>
  </w:style>
  <w:style w:type="character" w:customStyle="1" w:styleId="PlainTextChar">
    <w:name w:val="Plain Text Char"/>
    <w:basedOn w:val="DefaultParagraphFont"/>
    <w:link w:val="PlainText"/>
    <w:uiPriority w:val="99"/>
    <w:rsid w:val="00342FC6"/>
    <w:rPr>
      <w:rFonts w:ascii="Arial" w:hAnsi="Arial"/>
      <w:sz w:val="24"/>
      <w:szCs w:val="21"/>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L Char"/>
    <w:link w:val="ListParagraph"/>
    <w:uiPriority w:val="34"/>
    <w:qFormat/>
    <w:locked/>
    <w:rsid w:val="00342FC6"/>
  </w:style>
  <w:style w:type="character" w:customStyle="1" w:styleId="eop">
    <w:name w:val="eop"/>
    <w:basedOn w:val="DefaultParagraphFont"/>
    <w:rsid w:val="00342FC6"/>
  </w:style>
  <w:style w:type="character" w:customStyle="1" w:styleId="normaltextrun">
    <w:name w:val="normaltextrun"/>
    <w:basedOn w:val="DefaultParagraphFont"/>
    <w:rsid w:val="00342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46770">
      <w:bodyDiv w:val="1"/>
      <w:marLeft w:val="0"/>
      <w:marRight w:val="0"/>
      <w:marTop w:val="0"/>
      <w:marBottom w:val="0"/>
      <w:divBdr>
        <w:top w:val="none" w:sz="0" w:space="0" w:color="auto"/>
        <w:left w:val="none" w:sz="0" w:space="0" w:color="auto"/>
        <w:bottom w:val="none" w:sz="0" w:space="0" w:color="auto"/>
        <w:right w:val="none" w:sz="0" w:space="0" w:color="auto"/>
      </w:divBdr>
    </w:div>
    <w:div w:id="216356120">
      <w:bodyDiv w:val="1"/>
      <w:marLeft w:val="0"/>
      <w:marRight w:val="0"/>
      <w:marTop w:val="0"/>
      <w:marBottom w:val="0"/>
      <w:divBdr>
        <w:top w:val="none" w:sz="0" w:space="0" w:color="auto"/>
        <w:left w:val="none" w:sz="0" w:space="0" w:color="auto"/>
        <w:bottom w:val="none" w:sz="0" w:space="0" w:color="auto"/>
        <w:right w:val="none" w:sz="0" w:space="0" w:color="auto"/>
      </w:divBdr>
    </w:div>
    <w:div w:id="238056593">
      <w:bodyDiv w:val="1"/>
      <w:marLeft w:val="0"/>
      <w:marRight w:val="0"/>
      <w:marTop w:val="0"/>
      <w:marBottom w:val="0"/>
      <w:divBdr>
        <w:top w:val="none" w:sz="0" w:space="0" w:color="auto"/>
        <w:left w:val="none" w:sz="0" w:space="0" w:color="auto"/>
        <w:bottom w:val="none" w:sz="0" w:space="0" w:color="auto"/>
        <w:right w:val="none" w:sz="0" w:space="0" w:color="auto"/>
      </w:divBdr>
    </w:div>
    <w:div w:id="556624189">
      <w:bodyDiv w:val="1"/>
      <w:marLeft w:val="0"/>
      <w:marRight w:val="0"/>
      <w:marTop w:val="0"/>
      <w:marBottom w:val="0"/>
      <w:divBdr>
        <w:top w:val="none" w:sz="0" w:space="0" w:color="auto"/>
        <w:left w:val="none" w:sz="0" w:space="0" w:color="auto"/>
        <w:bottom w:val="none" w:sz="0" w:space="0" w:color="auto"/>
        <w:right w:val="none" w:sz="0" w:space="0" w:color="auto"/>
      </w:divBdr>
    </w:div>
    <w:div w:id="879824615">
      <w:bodyDiv w:val="1"/>
      <w:marLeft w:val="0"/>
      <w:marRight w:val="0"/>
      <w:marTop w:val="0"/>
      <w:marBottom w:val="0"/>
      <w:divBdr>
        <w:top w:val="none" w:sz="0" w:space="0" w:color="auto"/>
        <w:left w:val="none" w:sz="0" w:space="0" w:color="auto"/>
        <w:bottom w:val="none" w:sz="0" w:space="0" w:color="auto"/>
        <w:right w:val="none" w:sz="0" w:space="0" w:color="auto"/>
      </w:divBdr>
    </w:div>
    <w:div w:id="1349871874">
      <w:bodyDiv w:val="1"/>
      <w:marLeft w:val="0"/>
      <w:marRight w:val="0"/>
      <w:marTop w:val="0"/>
      <w:marBottom w:val="0"/>
      <w:divBdr>
        <w:top w:val="none" w:sz="0" w:space="0" w:color="auto"/>
        <w:left w:val="none" w:sz="0" w:space="0" w:color="auto"/>
        <w:bottom w:val="none" w:sz="0" w:space="0" w:color="auto"/>
        <w:right w:val="none" w:sz="0" w:space="0" w:color="auto"/>
      </w:divBdr>
    </w:div>
    <w:div w:id="155473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egan.farr@cypcs.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Farr\OneDrive%20-%20Children%20and%20Young%20People's%20Commissioner%20Scotland\Documents\Custom%20Office%20Templates\Consultation%20Responses%20and%20Eviden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67915CB37172408585C86EAE67BC05" ma:contentTypeVersion="4" ma:contentTypeDescription="Create a new document." ma:contentTypeScope="" ma:versionID="d877f0d29163bdd8543eb739409b780d">
  <xsd:schema xmlns:xsd="http://www.w3.org/2001/XMLSchema" xmlns:xs="http://www.w3.org/2001/XMLSchema" xmlns:p="http://schemas.microsoft.com/office/2006/metadata/properties" xmlns:ns2="011165fc-3021-4dd7-8318-5bfb7b36dba6" targetNamespace="http://schemas.microsoft.com/office/2006/metadata/properties" ma:root="true" ma:fieldsID="9f8fe13f09a3d380a8d414b9bacd6d34" ns2:_="">
    <xsd:import namespace="011165fc-3021-4dd7-8318-5bfb7b36db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165fc-3021-4dd7-8318-5bfb7b36d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2948CD-BFD6-4C9E-A5B3-3C58E1D34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165fc-3021-4dd7-8318-5bfb7b36d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E95A9E-624D-44A7-9F84-501D4B218A36}">
  <ds:schemaRefs>
    <ds:schemaRef ds:uri="http://schemas.microsoft.com/sharepoint/v3/contenttype/forms"/>
  </ds:schemaRefs>
</ds:datastoreItem>
</file>

<file path=customXml/itemProps3.xml><?xml version="1.0" encoding="utf-8"?>
<ds:datastoreItem xmlns:ds="http://schemas.openxmlformats.org/officeDocument/2006/customXml" ds:itemID="{CA1BF626-81FC-4A8F-895C-AA4D28FF83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Consultation Responses and Evidence</Template>
  <TotalTime>35</TotalTime>
  <Pages>12</Pages>
  <Words>3474</Words>
  <Characters>19802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Farr</dc:creator>
  <cp:keywords/>
  <dc:description/>
  <cp:lastModifiedBy>Megan Farr</cp:lastModifiedBy>
  <cp:revision>8</cp:revision>
  <cp:lastPrinted>2020-03-31T10:31:00Z</cp:lastPrinted>
  <dcterms:created xsi:type="dcterms:W3CDTF">2024-05-16T13:05:00Z</dcterms:created>
  <dcterms:modified xsi:type="dcterms:W3CDTF">2024-05-16T13:59:00Z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0x0101002C67915CB37172408585C86EAE67BC05</vt:lpwstr>
  </property>
</Properties>
</file>